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55176" w14:textId="559974AE" w:rsidR="00866A63" w:rsidRPr="00AB475B" w:rsidRDefault="006E3310" w:rsidP="00AB475B">
      <w:pPr>
        <w:spacing w:line="240" w:lineRule="auto"/>
        <w:jc w:val="center"/>
        <w:rPr>
          <w:rFonts w:ascii="Times New Roman" w:hAnsi="Times New Roman" w:cs="Times New Roman"/>
          <w:b/>
          <w:bCs/>
          <w:sz w:val="24"/>
          <w:szCs w:val="24"/>
        </w:rPr>
      </w:pPr>
      <w:r w:rsidRPr="00AB475B">
        <w:rPr>
          <w:rFonts w:ascii="Times New Roman" w:hAnsi="Times New Roman" w:cs="Times New Roman"/>
          <w:b/>
          <w:bCs/>
          <w:sz w:val="24"/>
          <w:szCs w:val="24"/>
        </w:rPr>
        <w:t>CAAP Quarterly Report</w:t>
      </w:r>
    </w:p>
    <w:p w14:paraId="4C9195EC" w14:textId="557ED32D" w:rsidR="00441246" w:rsidRPr="00AB475B" w:rsidRDefault="00441246" w:rsidP="00AB475B">
      <w:pPr>
        <w:spacing w:before="90" w:after="0" w:line="240" w:lineRule="auto"/>
        <w:rPr>
          <w:rFonts w:ascii="Times New Roman" w:hAnsi="Times New Roman" w:cs="Times New Roman"/>
          <w:i/>
          <w:sz w:val="24"/>
          <w:szCs w:val="24"/>
        </w:rPr>
      </w:pPr>
      <w:r w:rsidRPr="00AB475B">
        <w:rPr>
          <w:rFonts w:ascii="Times New Roman" w:hAnsi="Times New Roman" w:cs="Times New Roman"/>
          <w:sz w:val="24"/>
          <w:szCs w:val="24"/>
        </w:rPr>
        <w:t xml:space="preserve">Date of Report: </w:t>
      </w:r>
      <w:r w:rsidR="0007602F" w:rsidRPr="00AB475B">
        <w:rPr>
          <w:rFonts w:ascii="Times New Roman" w:hAnsi="Times New Roman" w:cs="Times New Roman"/>
          <w:sz w:val="24"/>
          <w:szCs w:val="24"/>
        </w:rPr>
        <w:t>4</w:t>
      </w:r>
      <w:r w:rsidR="003E1278" w:rsidRPr="00AB475B">
        <w:rPr>
          <w:rFonts w:ascii="Times New Roman" w:hAnsi="Times New Roman" w:cs="Times New Roman"/>
          <w:sz w:val="24"/>
          <w:szCs w:val="24"/>
        </w:rPr>
        <w:t>/</w:t>
      </w:r>
      <w:r w:rsidR="009869A6" w:rsidRPr="00AB475B">
        <w:rPr>
          <w:rFonts w:ascii="Times New Roman" w:hAnsi="Times New Roman" w:cs="Times New Roman"/>
          <w:sz w:val="24"/>
          <w:szCs w:val="24"/>
        </w:rPr>
        <w:t>1</w:t>
      </w:r>
      <w:r w:rsidR="00ED4990" w:rsidRPr="00AB475B">
        <w:rPr>
          <w:rFonts w:ascii="Times New Roman" w:hAnsi="Times New Roman" w:cs="Times New Roman"/>
          <w:sz w:val="24"/>
          <w:szCs w:val="24"/>
        </w:rPr>
        <w:t>5</w:t>
      </w:r>
      <w:r w:rsidRPr="00AB475B">
        <w:rPr>
          <w:rFonts w:ascii="Times New Roman" w:hAnsi="Times New Roman" w:cs="Times New Roman"/>
          <w:sz w:val="24"/>
          <w:szCs w:val="24"/>
        </w:rPr>
        <w:t>/202</w:t>
      </w:r>
      <w:r w:rsidR="009869A6" w:rsidRPr="00AB475B">
        <w:rPr>
          <w:rFonts w:ascii="Times New Roman" w:hAnsi="Times New Roman" w:cs="Times New Roman"/>
          <w:sz w:val="24"/>
          <w:szCs w:val="24"/>
        </w:rPr>
        <w:t>5</w:t>
      </w:r>
      <w:r w:rsidRPr="00AB475B">
        <w:rPr>
          <w:rFonts w:ascii="Times New Roman" w:hAnsi="Times New Roman" w:cs="Times New Roman"/>
          <w:sz w:val="24"/>
          <w:szCs w:val="24"/>
        </w:rPr>
        <w:t xml:space="preserve"> </w:t>
      </w:r>
    </w:p>
    <w:p w14:paraId="083153B5" w14:textId="77777777" w:rsidR="00441246" w:rsidRPr="00AB475B" w:rsidRDefault="00441246" w:rsidP="00AB475B">
      <w:pPr>
        <w:pStyle w:val="BodyText"/>
        <w:spacing w:before="5"/>
        <w:rPr>
          <w:i/>
        </w:rPr>
      </w:pPr>
    </w:p>
    <w:p w14:paraId="6764F97A" w14:textId="77777777" w:rsidR="00441246" w:rsidRPr="00AB475B" w:rsidRDefault="00441246" w:rsidP="00AB475B">
      <w:pPr>
        <w:spacing w:before="1" w:after="0" w:line="240" w:lineRule="auto"/>
        <w:rPr>
          <w:rFonts w:ascii="Times New Roman" w:hAnsi="Times New Roman" w:cs="Times New Roman"/>
          <w:i/>
          <w:sz w:val="24"/>
          <w:szCs w:val="24"/>
        </w:rPr>
      </w:pPr>
      <w:r w:rsidRPr="00AB475B">
        <w:rPr>
          <w:rFonts w:ascii="Times New Roman" w:hAnsi="Times New Roman" w:cs="Times New Roman"/>
          <w:sz w:val="24"/>
          <w:szCs w:val="24"/>
        </w:rPr>
        <w:t xml:space="preserve">Prepared for: </w:t>
      </w:r>
      <w:r w:rsidRPr="00AB475B">
        <w:rPr>
          <w:rFonts w:ascii="Times New Roman" w:hAnsi="Times New Roman" w:cs="Times New Roman"/>
          <w:i/>
          <w:sz w:val="24"/>
          <w:szCs w:val="24"/>
        </w:rPr>
        <w:t>U.S. DOT Pipeline and Hazardous Materials Safety Administration</w:t>
      </w:r>
    </w:p>
    <w:p w14:paraId="27C3BC67" w14:textId="77777777" w:rsidR="00441246" w:rsidRPr="00AB475B" w:rsidRDefault="00441246" w:rsidP="00AB475B">
      <w:pPr>
        <w:pStyle w:val="BodyText"/>
        <w:rPr>
          <w:i/>
        </w:rPr>
      </w:pPr>
    </w:p>
    <w:p w14:paraId="1B1F714B" w14:textId="77777777" w:rsidR="00441246" w:rsidRPr="00AB475B" w:rsidRDefault="00441246" w:rsidP="00AB475B">
      <w:pPr>
        <w:spacing w:before="1" w:after="0" w:line="240" w:lineRule="auto"/>
        <w:rPr>
          <w:rFonts w:ascii="Times New Roman" w:hAnsi="Times New Roman" w:cs="Times New Roman"/>
          <w:i/>
          <w:sz w:val="24"/>
          <w:szCs w:val="24"/>
        </w:rPr>
      </w:pPr>
      <w:r w:rsidRPr="00AB475B">
        <w:rPr>
          <w:rFonts w:ascii="Times New Roman" w:hAnsi="Times New Roman" w:cs="Times New Roman"/>
          <w:sz w:val="24"/>
          <w:szCs w:val="24"/>
        </w:rPr>
        <w:t>Contract Number: 693JK32050008CAAP</w:t>
      </w:r>
    </w:p>
    <w:p w14:paraId="204A14BA" w14:textId="77777777" w:rsidR="00441246" w:rsidRPr="00AB475B" w:rsidRDefault="00441246" w:rsidP="00AB475B">
      <w:pPr>
        <w:pStyle w:val="BodyText"/>
        <w:spacing w:before="10"/>
        <w:rPr>
          <w:i/>
        </w:rPr>
      </w:pPr>
    </w:p>
    <w:p w14:paraId="0A67746A" w14:textId="77777777" w:rsidR="005D74A9" w:rsidRPr="00AB475B" w:rsidRDefault="00441246" w:rsidP="00AB475B">
      <w:pPr>
        <w:spacing w:before="1" w:after="0" w:line="240" w:lineRule="auto"/>
        <w:rPr>
          <w:rFonts w:ascii="Times New Roman" w:hAnsi="Times New Roman" w:cs="Times New Roman"/>
          <w:sz w:val="24"/>
          <w:szCs w:val="24"/>
        </w:rPr>
      </w:pPr>
      <w:r w:rsidRPr="00AB475B">
        <w:rPr>
          <w:rFonts w:ascii="Times New Roman" w:hAnsi="Times New Roman" w:cs="Times New Roman"/>
          <w:sz w:val="24"/>
          <w:szCs w:val="24"/>
        </w:rPr>
        <w:t xml:space="preserve">Project Title: </w:t>
      </w:r>
      <w:r w:rsidR="005D74A9" w:rsidRPr="00AB475B">
        <w:rPr>
          <w:rFonts w:ascii="Times New Roman" w:hAnsi="Times New Roman" w:cs="Times New Roman"/>
          <w:sz w:val="24"/>
          <w:szCs w:val="24"/>
        </w:rPr>
        <w:t>Effectiveness Assessment of Pipeline Cathodic Protection System Using Remote Sensing, Advanced Modeling, and Data Analytics</w:t>
      </w:r>
    </w:p>
    <w:p w14:paraId="78B6548F" w14:textId="77777777" w:rsidR="00441246" w:rsidRPr="00AB475B" w:rsidRDefault="00441246" w:rsidP="00AB475B">
      <w:pPr>
        <w:pStyle w:val="BodyText"/>
        <w:spacing w:before="10"/>
      </w:pPr>
    </w:p>
    <w:p w14:paraId="05D6E677" w14:textId="07DF4AD9" w:rsidR="00441246" w:rsidRPr="00AB475B" w:rsidRDefault="00441246" w:rsidP="00AB475B">
      <w:pPr>
        <w:spacing w:before="1" w:after="0" w:line="240" w:lineRule="auto"/>
        <w:rPr>
          <w:rFonts w:ascii="Times New Roman" w:hAnsi="Times New Roman" w:cs="Times New Roman"/>
          <w:i/>
          <w:sz w:val="24"/>
          <w:szCs w:val="24"/>
        </w:rPr>
      </w:pPr>
      <w:r w:rsidRPr="00AB475B">
        <w:rPr>
          <w:rFonts w:ascii="Times New Roman" w:hAnsi="Times New Roman" w:cs="Times New Roman"/>
          <w:sz w:val="24"/>
          <w:szCs w:val="24"/>
        </w:rPr>
        <w:t>Prepared by:</w:t>
      </w:r>
      <w:r w:rsidR="005D74A9" w:rsidRPr="00AB475B">
        <w:rPr>
          <w:rFonts w:ascii="Times New Roman" w:hAnsi="Times New Roman" w:cs="Times New Roman"/>
          <w:sz w:val="24"/>
          <w:szCs w:val="24"/>
        </w:rPr>
        <w:t xml:space="preserve"> </w:t>
      </w:r>
      <w:r w:rsidR="009869A6" w:rsidRPr="00AB475B">
        <w:rPr>
          <w:rFonts w:ascii="Times New Roman" w:hAnsi="Times New Roman" w:cs="Times New Roman"/>
          <w:sz w:val="24"/>
          <w:szCs w:val="24"/>
        </w:rPr>
        <w:t xml:space="preserve">Xingsen Yang (PhD student), </w:t>
      </w:r>
      <w:r w:rsidR="005D74A9" w:rsidRPr="00AB475B">
        <w:rPr>
          <w:rFonts w:ascii="Times New Roman" w:hAnsi="Times New Roman" w:cs="Times New Roman"/>
          <w:sz w:val="24"/>
          <w:szCs w:val="24"/>
        </w:rPr>
        <w:t>Jay Shah (Postdoc)</w:t>
      </w:r>
      <w:r w:rsidRPr="00AB475B">
        <w:rPr>
          <w:rFonts w:ascii="Times New Roman" w:hAnsi="Times New Roman" w:cs="Times New Roman"/>
          <w:sz w:val="24"/>
          <w:szCs w:val="24"/>
        </w:rPr>
        <w:t xml:space="preserve">, </w:t>
      </w:r>
      <w:r w:rsidR="009869A6" w:rsidRPr="00AB475B">
        <w:rPr>
          <w:rFonts w:ascii="Times New Roman" w:hAnsi="Times New Roman" w:cs="Times New Roman"/>
          <w:sz w:val="24"/>
          <w:szCs w:val="24"/>
        </w:rPr>
        <w:t xml:space="preserve">Qixin Zhou (Co-PI), </w:t>
      </w:r>
      <w:r w:rsidRPr="00AB475B">
        <w:rPr>
          <w:rFonts w:ascii="Times New Roman" w:hAnsi="Times New Roman" w:cs="Times New Roman"/>
          <w:sz w:val="24"/>
          <w:szCs w:val="24"/>
        </w:rPr>
        <w:t xml:space="preserve">Hao Wang </w:t>
      </w:r>
      <w:r w:rsidR="005D74A9" w:rsidRPr="00AB475B">
        <w:rPr>
          <w:rFonts w:ascii="Times New Roman" w:hAnsi="Times New Roman" w:cs="Times New Roman"/>
          <w:sz w:val="24"/>
          <w:szCs w:val="24"/>
        </w:rPr>
        <w:t>(PI)</w:t>
      </w:r>
    </w:p>
    <w:p w14:paraId="20542818" w14:textId="77777777" w:rsidR="00441246" w:rsidRPr="00AB475B" w:rsidRDefault="00441246" w:rsidP="00AB475B">
      <w:pPr>
        <w:spacing w:after="0" w:line="240" w:lineRule="auto"/>
        <w:rPr>
          <w:rFonts w:ascii="Times New Roman" w:hAnsi="Times New Roman" w:cs="Times New Roman"/>
          <w:sz w:val="24"/>
          <w:szCs w:val="24"/>
        </w:rPr>
      </w:pPr>
    </w:p>
    <w:p w14:paraId="59E6C42D" w14:textId="4A375BF6" w:rsidR="00441246" w:rsidRPr="00AB475B" w:rsidRDefault="00441246" w:rsidP="00AB475B">
      <w:pPr>
        <w:spacing w:after="0" w:line="240" w:lineRule="auto"/>
        <w:rPr>
          <w:rFonts w:ascii="Times New Roman" w:hAnsi="Times New Roman" w:cs="Times New Roman"/>
          <w:sz w:val="24"/>
          <w:szCs w:val="24"/>
        </w:rPr>
      </w:pPr>
      <w:r w:rsidRPr="00AB475B">
        <w:rPr>
          <w:rFonts w:ascii="Times New Roman" w:hAnsi="Times New Roman" w:cs="Times New Roman"/>
          <w:sz w:val="24"/>
          <w:szCs w:val="24"/>
        </w:rPr>
        <w:t xml:space="preserve">Contact Information: </w:t>
      </w:r>
      <w:r w:rsidRPr="00AB475B">
        <w:rPr>
          <w:rFonts w:ascii="Times New Roman" w:hAnsi="Times New Roman" w:cs="Times New Roman"/>
          <w:sz w:val="24"/>
          <w:szCs w:val="24"/>
        </w:rPr>
        <w:tab/>
        <w:t xml:space="preserve">Hao Wang, </w:t>
      </w:r>
      <w:r w:rsidR="005D74A9" w:rsidRPr="00AB475B">
        <w:rPr>
          <w:rFonts w:ascii="Times New Roman" w:hAnsi="Times New Roman" w:cs="Times New Roman"/>
          <w:sz w:val="24"/>
          <w:szCs w:val="24"/>
        </w:rPr>
        <w:t>hwang.cee@rutgers.edu</w:t>
      </w:r>
      <w:r w:rsidRPr="00AB475B">
        <w:rPr>
          <w:rFonts w:ascii="Times New Roman" w:hAnsi="Times New Roman" w:cs="Times New Roman"/>
          <w:sz w:val="24"/>
          <w:szCs w:val="24"/>
        </w:rPr>
        <w:t>, 848-445-2874</w:t>
      </w:r>
    </w:p>
    <w:p w14:paraId="0500D914" w14:textId="77777777" w:rsidR="00441246" w:rsidRPr="00AB475B" w:rsidRDefault="00441246" w:rsidP="00AB475B">
      <w:pPr>
        <w:spacing w:after="0" w:line="240" w:lineRule="auto"/>
        <w:ind w:left="90"/>
        <w:jc w:val="both"/>
        <w:rPr>
          <w:rFonts w:ascii="Times New Roman" w:hAnsi="Times New Roman" w:cs="Times New Roman"/>
          <w:i/>
          <w:sz w:val="24"/>
          <w:szCs w:val="24"/>
        </w:rPr>
      </w:pPr>
      <w:r w:rsidRPr="00AB475B">
        <w:rPr>
          <w:rFonts w:ascii="Times New Roman" w:hAnsi="Times New Roman" w:cs="Times New Roman"/>
          <w:sz w:val="24"/>
          <w:szCs w:val="24"/>
        </w:rPr>
        <w:tab/>
      </w:r>
      <w:r w:rsidRPr="00AB475B">
        <w:rPr>
          <w:rFonts w:ascii="Times New Roman" w:hAnsi="Times New Roman" w:cs="Times New Roman"/>
          <w:sz w:val="24"/>
          <w:szCs w:val="24"/>
        </w:rPr>
        <w:tab/>
      </w:r>
      <w:r w:rsidRPr="00AB475B">
        <w:rPr>
          <w:rFonts w:ascii="Times New Roman" w:hAnsi="Times New Roman" w:cs="Times New Roman"/>
          <w:sz w:val="24"/>
          <w:szCs w:val="24"/>
        </w:rPr>
        <w:tab/>
      </w:r>
      <w:r w:rsidRPr="00AB475B">
        <w:rPr>
          <w:rFonts w:ascii="Times New Roman" w:hAnsi="Times New Roman" w:cs="Times New Roman"/>
          <w:sz w:val="24"/>
          <w:szCs w:val="24"/>
        </w:rPr>
        <w:tab/>
      </w:r>
      <w:r w:rsidRPr="00AB475B">
        <w:rPr>
          <w:rFonts w:ascii="Times New Roman" w:hAnsi="Times New Roman" w:cs="Times New Roman"/>
          <w:sz w:val="24"/>
          <w:szCs w:val="24"/>
        </w:rPr>
        <w:tab/>
      </w:r>
      <w:r w:rsidRPr="00AB475B">
        <w:rPr>
          <w:rFonts w:ascii="Times New Roman" w:hAnsi="Times New Roman" w:cs="Times New Roman"/>
          <w:sz w:val="24"/>
          <w:szCs w:val="24"/>
        </w:rPr>
        <w:tab/>
      </w:r>
    </w:p>
    <w:p w14:paraId="0C9488DE" w14:textId="38766931" w:rsidR="00441246" w:rsidRPr="00AB475B" w:rsidRDefault="00441246" w:rsidP="00AB475B">
      <w:pPr>
        <w:spacing w:after="0" w:line="240" w:lineRule="auto"/>
        <w:rPr>
          <w:rFonts w:ascii="Times New Roman" w:hAnsi="Times New Roman" w:cs="Times New Roman"/>
          <w:sz w:val="24"/>
          <w:szCs w:val="24"/>
        </w:rPr>
      </w:pPr>
      <w:r w:rsidRPr="00AB475B">
        <w:rPr>
          <w:rFonts w:ascii="Times New Roman" w:hAnsi="Times New Roman" w:cs="Times New Roman"/>
          <w:sz w:val="24"/>
          <w:szCs w:val="24"/>
        </w:rPr>
        <w:t xml:space="preserve">For quarterly period ending: </w:t>
      </w:r>
      <w:r w:rsidR="0007602F" w:rsidRPr="00AB475B">
        <w:rPr>
          <w:rFonts w:ascii="Times New Roman" w:hAnsi="Times New Roman" w:cs="Times New Roman"/>
          <w:sz w:val="24"/>
          <w:szCs w:val="24"/>
        </w:rPr>
        <w:t>03</w:t>
      </w:r>
      <w:r w:rsidRPr="00AB475B">
        <w:rPr>
          <w:rFonts w:ascii="Times New Roman" w:hAnsi="Times New Roman" w:cs="Times New Roman"/>
          <w:sz w:val="24"/>
          <w:szCs w:val="24"/>
        </w:rPr>
        <w:t>/</w:t>
      </w:r>
      <w:r w:rsidR="009A122D" w:rsidRPr="00AB475B">
        <w:rPr>
          <w:rFonts w:ascii="Times New Roman" w:hAnsi="Times New Roman" w:cs="Times New Roman"/>
          <w:sz w:val="24"/>
          <w:szCs w:val="24"/>
        </w:rPr>
        <w:t>3</w:t>
      </w:r>
      <w:r w:rsidR="009869A6" w:rsidRPr="00AB475B">
        <w:rPr>
          <w:rFonts w:ascii="Times New Roman" w:hAnsi="Times New Roman" w:cs="Times New Roman"/>
          <w:sz w:val="24"/>
          <w:szCs w:val="24"/>
        </w:rPr>
        <w:t>1</w:t>
      </w:r>
      <w:r w:rsidRPr="00AB475B">
        <w:rPr>
          <w:rFonts w:ascii="Times New Roman" w:hAnsi="Times New Roman" w:cs="Times New Roman"/>
          <w:sz w:val="24"/>
          <w:szCs w:val="24"/>
        </w:rPr>
        <w:t>/202</w:t>
      </w:r>
      <w:r w:rsidR="0007602F" w:rsidRPr="00AB475B">
        <w:rPr>
          <w:rFonts w:ascii="Times New Roman" w:hAnsi="Times New Roman" w:cs="Times New Roman"/>
          <w:sz w:val="24"/>
          <w:szCs w:val="24"/>
        </w:rPr>
        <w:t>5</w:t>
      </w:r>
    </w:p>
    <w:p w14:paraId="6856778E" w14:textId="77777777" w:rsidR="005D74A9" w:rsidRPr="00AB475B" w:rsidRDefault="005D74A9" w:rsidP="00AB475B">
      <w:pPr>
        <w:spacing w:after="0" w:line="240" w:lineRule="auto"/>
        <w:rPr>
          <w:rFonts w:ascii="Times New Roman" w:hAnsi="Times New Roman" w:cs="Times New Roman"/>
          <w:sz w:val="24"/>
          <w:szCs w:val="24"/>
        </w:rPr>
      </w:pPr>
    </w:p>
    <w:p w14:paraId="5455EB08" w14:textId="77777777" w:rsidR="005D74A9" w:rsidRPr="00AB475B" w:rsidRDefault="005D74A9" w:rsidP="00AB475B">
      <w:pPr>
        <w:spacing w:line="240" w:lineRule="auto"/>
        <w:jc w:val="center"/>
        <w:rPr>
          <w:rFonts w:ascii="Times New Roman" w:hAnsi="Times New Roman" w:cs="Times New Roman"/>
          <w:b/>
          <w:bCs/>
          <w:sz w:val="24"/>
          <w:szCs w:val="24"/>
          <w:u w:val="single"/>
        </w:rPr>
      </w:pPr>
    </w:p>
    <w:p w14:paraId="7852D0AD" w14:textId="0D280BB6" w:rsidR="00441246" w:rsidRPr="00AB475B" w:rsidRDefault="00441246" w:rsidP="00AB475B">
      <w:pPr>
        <w:spacing w:line="240" w:lineRule="auto"/>
        <w:jc w:val="center"/>
        <w:rPr>
          <w:rFonts w:ascii="Times New Roman" w:hAnsi="Times New Roman" w:cs="Times New Roman"/>
          <w:b/>
          <w:bCs/>
          <w:sz w:val="24"/>
          <w:szCs w:val="24"/>
          <w:u w:val="single"/>
        </w:rPr>
      </w:pPr>
      <w:r w:rsidRPr="00AB475B">
        <w:rPr>
          <w:rFonts w:ascii="Times New Roman" w:hAnsi="Times New Roman" w:cs="Times New Roman"/>
          <w:b/>
          <w:bCs/>
          <w:sz w:val="24"/>
          <w:szCs w:val="24"/>
          <w:u w:val="single"/>
        </w:rPr>
        <w:t>Business and Activity Section</w:t>
      </w:r>
    </w:p>
    <w:p w14:paraId="0FEF0FEF" w14:textId="77777777" w:rsidR="00441246" w:rsidRPr="00AB475B" w:rsidRDefault="00441246" w:rsidP="00AB475B">
      <w:pPr>
        <w:pStyle w:val="Heading1"/>
        <w:keepNext w:val="0"/>
        <w:keepLines w:val="0"/>
        <w:widowControl w:val="0"/>
        <w:numPr>
          <w:ilvl w:val="0"/>
          <w:numId w:val="27"/>
        </w:numPr>
        <w:tabs>
          <w:tab w:val="left" w:pos="461"/>
        </w:tabs>
        <w:autoSpaceDE w:val="0"/>
        <w:autoSpaceDN w:val="0"/>
        <w:spacing w:before="90" w:after="0"/>
        <w:ind w:left="360" w:hanging="360"/>
        <w:rPr>
          <w:rFonts w:cs="Times New Roman"/>
          <w:sz w:val="24"/>
          <w:szCs w:val="24"/>
        </w:rPr>
      </w:pPr>
      <w:r w:rsidRPr="00AB475B">
        <w:rPr>
          <w:rFonts w:cs="Times New Roman"/>
          <w:sz w:val="24"/>
          <w:szCs w:val="24"/>
        </w:rPr>
        <w:t>Contract Activity</w:t>
      </w:r>
    </w:p>
    <w:p w14:paraId="6143095B" w14:textId="77777777" w:rsidR="00441246" w:rsidRPr="00AB475B" w:rsidRDefault="00441246" w:rsidP="00AB475B">
      <w:pPr>
        <w:pStyle w:val="BodyText"/>
        <w:jc w:val="both"/>
      </w:pPr>
    </w:p>
    <w:p w14:paraId="77B940FA" w14:textId="01C941A2" w:rsidR="00441246" w:rsidRPr="00AB475B" w:rsidRDefault="005D74A9" w:rsidP="00AB475B">
      <w:pPr>
        <w:pStyle w:val="BodyText"/>
        <w:jc w:val="both"/>
      </w:pPr>
      <w:r w:rsidRPr="00AB475B">
        <w:t xml:space="preserve">The subaward to </w:t>
      </w:r>
      <w:r w:rsidR="008D24EB" w:rsidRPr="00AB475B">
        <w:t xml:space="preserve">University of Akron </w:t>
      </w:r>
      <w:r w:rsidR="003E1278" w:rsidRPr="00AB475B">
        <w:t>has been issued</w:t>
      </w:r>
      <w:r w:rsidR="008D24EB" w:rsidRPr="00AB475B">
        <w:t>.</w:t>
      </w:r>
      <w:r w:rsidR="00EC5528" w:rsidRPr="00AB475B">
        <w:t xml:space="preserve"> </w:t>
      </w:r>
    </w:p>
    <w:p w14:paraId="69207E72" w14:textId="77777777" w:rsidR="003B15C5" w:rsidRPr="00AB475B" w:rsidRDefault="003B15C5" w:rsidP="00AB475B">
      <w:pPr>
        <w:pStyle w:val="BodyText"/>
        <w:jc w:val="both"/>
      </w:pPr>
    </w:p>
    <w:p w14:paraId="7F0AEF8F" w14:textId="40C9A3E7" w:rsidR="00441246" w:rsidRPr="00AB475B" w:rsidRDefault="00441246" w:rsidP="00AB475B">
      <w:pPr>
        <w:pStyle w:val="BodyText"/>
        <w:jc w:val="both"/>
      </w:pPr>
    </w:p>
    <w:p w14:paraId="274D5465" w14:textId="77777777" w:rsidR="00441246" w:rsidRPr="00AB475B" w:rsidRDefault="00441246" w:rsidP="00AB475B">
      <w:pPr>
        <w:pStyle w:val="Heading1"/>
        <w:keepNext w:val="0"/>
        <w:keepLines w:val="0"/>
        <w:widowControl w:val="0"/>
        <w:numPr>
          <w:ilvl w:val="0"/>
          <w:numId w:val="27"/>
        </w:numPr>
        <w:autoSpaceDE w:val="0"/>
        <w:autoSpaceDN w:val="0"/>
        <w:spacing w:before="0" w:after="0"/>
        <w:ind w:left="360" w:hanging="360"/>
        <w:rPr>
          <w:rFonts w:cs="Times New Roman"/>
          <w:sz w:val="24"/>
          <w:szCs w:val="24"/>
        </w:rPr>
      </w:pPr>
      <w:r w:rsidRPr="00AB475B">
        <w:rPr>
          <w:rFonts w:cs="Times New Roman"/>
          <w:sz w:val="24"/>
          <w:szCs w:val="24"/>
        </w:rPr>
        <w:t>Status Update of Past Quarter</w:t>
      </w:r>
      <w:r w:rsidRPr="00AB475B">
        <w:rPr>
          <w:rFonts w:cs="Times New Roman"/>
          <w:spacing w:val="-3"/>
          <w:sz w:val="24"/>
          <w:szCs w:val="24"/>
        </w:rPr>
        <w:t xml:space="preserve"> </w:t>
      </w:r>
      <w:r w:rsidRPr="00AB475B">
        <w:rPr>
          <w:rFonts w:cs="Times New Roman"/>
          <w:sz w:val="24"/>
          <w:szCs w:val="24"/>
        </w:rPr>
        <w:t>Activities</w:t>
      </w:r>
    </w:p>
    <w:p w14:paraId="684EA25E" w14:textId="77777777" w:rsidR="00AA200B" w:rsidRPr="00AB475B" w:rsidRDefault="00AA200B" w:rsidP="00AB475B">
      <w:pPr>
        <w:pStyle w:val="BodyText"/>
        <w:jc w:val="both"/>
      </w:pPr>
    </w:p>
    <w:p w14:paraId="61A94372" w14:textId="2C3C1BEA" w:rsidR="009869A6" w:rsidRPr="00AB475B" w:rsidRDefault="00AA200B" w:rsidP="00AB475B">
      <w:pPr>
        <w:pStyle w:val="BodyText"/>
        <w:jc w:val="both"/>
      </w:pPr>
      <w:r w:rsidRPr="00AB475B">
        <w:t>One</w:t>
      </w:r>
      <w:r w:rsidR="009869A6" w:rsidRPr="00AB475B">
        <w:t xml:space="preserve"> PhD student (Xingsen Yang) work</w:t>
      </w:r>
      <w:r w:rsidRPr="00AB475B">
        <w:t xml:space="preserve">ed </w:t>
      </w:r>
      <w:r w:rsidR="009869A6" w:rsidRPr="00AB475B">
        <w:t>on this project</w:t>
      </w:r>
      <w:r w:rsidRPr="00AB475B">
        <w:t xml:space="preserve"> </w:t>
      </w:r>
      <w:r w:rsidR="00CE502F" w:rsidRPr="00AB475B">
        <w:t xml:space="preserve">with the postdoc (Jay Shah) </w:t>
      </w:r>
      <w:r w:rsidRPr="00AB475B">
        <w:t>at Rutgers University</w:t>
      </w:r>
      <w:r w:rsidR="009869A6" w:rsidRPr="00AB475B">
        <w:t xml:space="preserve">. Two undergraduate </w:t>
      </w:r>
      <w:r w:rsidRPr="00AB475B">
        <w:t>students (</w:t>
      </w:r>
      <w:r w:rsidR="009869A6" w:rsidRPr="00AB475B">
        <w:t>Ashley Cho</w:t>
      </w:r>
      <w:r w:rsidRPr="00AB475B">
        <w:t>w and Cecilia Segretario</w:t>
      </w:r>
      <w:r w:rsidR="009869A6" w:rsidRPr="00AB475B">
        <w:t>)</w:t>
      </w:r>
      <w:r w:rsidRPr="00AB475B">
        <w:t xml:space="preserve"> worked on this </w:t>
      </w:r>
      <w:r w:rsidR="00CE502F" w:rsidRPr="00AB475B">
        <w:t>project at University of Akron</w:t>
      </w:r>
      <w:r w:rsidR="009869A6" w:rsidRPr="00AB475B">
        <w:t>.</w:t>
      </w:r>
    </w:p>
    <w:p w14:paraId="4343970B" w14:textId="77777777" w:rsidR="009869A6" w:rsidRPr="00AB475B" w:rsidRDefault="009869A6" w:rsidP="00AB475B">
      <w:pPr>
        <w:pStyle w:val="BodyText"/>
        <w:jc w:val="both"/>
      </w:pPr>
    </w:p>
    <w:p w14:paraId="377D49FE" w14:textId="20513095" w:rsidR="00236D12" w:rsidRPr="00AB475B" w:rsidRDefault="005D5349" w:rsidP="00AB475B">
      <w:pPr>
        <w:pStyle w:val="BodyText"/>
        <w:jc w:val="both"/>
      </w:pPr>
      <w:r w:rsidRPr="00AB475B">
        <w:t xml:space="preserve">The project team </w:t>
      </w:r>
      <w:r w:rsidR="009869A6" w:rsidRPr="00AB475B">
        <w:t>worked on the following tasks</w:t>
      </w:r>
      <w:r w:rsidR="00C80B81" w:rsidRPr="00AB475B">
        <w:t>:</w:t>
      </w:r>
    </w:p>
    <w:p w14:paraId="4B7A22A6" w14:textId="77777777" w:rsidR="009869A6" w:rsidRPr="00AB475B" w:rsidRDefault="009869A6" w:rsidP="00AB475B">
      <w:pPr>
        <w:pStyle w:val="BodyText"/>
        <w:jc w:val="both"/>
      </w:pPr>
      <w:r w:rsidRPr="00AB475B">
        <w:t>Task 2 Laboratory Tests of CP Performance under Various Factors</w:t>
      </w:r>
    </w:p>
    <w:p w14:paraId="3B5B577C" w14:textId="77777777" w:rsidR="009869A6" w:rsidRPr="00AB475B" w:rsidRDefault="009869A6" w:rsidP="00AB475B">
      <w:pPr>
        <w:pStyle w:val="BodyText"/>
        <w:jc w:val="both"/>
      </w:pPr>
      <w:r w:rsidRPr="00AB475B">
        <w:t xml:space="preserve">Task 3 Modelling and Simulation of CP Performance </w:t>
      </w:r>
    </w:p>
    <w:p w14:paraId="13C3DF71" w14:textId="17FF7087" w:rsidR="009869A6" w:rsidRPr="00AB475B" w:rsidRDefault="004F3843" w:rsidP="00AB475B">
      <w:pPr>
        <w:pStyle w:val="BodyText"/>
        <w:jc w:val="both"/>
      </w:pPr>
      <w:r w:rsidRPr="00AB475B">
        <w:t>Task 4 Remote Inspection of Soil Properties and Pipe Corrosion</w:t>
      </w:r>
    </w:p>
    <w:p w14:paraId="4502BE3F" w14:textId="77777777" w:rsidR="003E1278" w:rsidRPr="00AB475B" w:rsidRDefault="003E1278" w:rsidP="00AB475B">
      <w:pPr>
        <w:pStyle w:val="BodyText"/>
        <w:jc w:val="both"/>
      </w:pPr>
    </w:p>
    <w:p w14:paraId="303DF2DE" w14:textId="77777777" w:rsidR="00441246" w:rsidRPr="00AB475B" w:rsidRDefault="00441246" w:rsidP="00AB475B">
      <w:pPr>
        <w:pStyle w:val="Heading1"/>
        <w:keepNext w:val="0"/>
        <w:keepLines w:val="0"/>
        <w:widowControl w:val="0"/>
        <w:numPr>
          <w:ilvl w:val="0"/>
          <w:numId w:val="27"/>
        </w:numPr>
        <w:autoSpaceDE w:val="0"/>
        <w:autoSpaceDN w:val="0"/>
        <w:spacing w:before="0" w:after="0"/>
        <w:ind w:left="360" w:hanging="360"/>
        <w:rPr>
          <w:rFonts w:cs="Times New Roman"/>
          <w:sz w:val="24"/>
          <w:szCs w:val="24"/>
        </w:rPr>
      </w:pPr>
      <w:r w:rsidRPr="00AB475B">
        <w:rPr>
          <w:rFonts w:cs="Times New Roman"/>
          <w:sz w:val="24"/>
          <w:szCs w:val="24"/>
        </w:rPr>
        <w:t>Cost Share Activity</w:t>
      </w:r>
    </w:p>
    <w:p w14:paraId="539AECC3" w14:textId="77777777" w:rsidR="00441246" w:rsidRPr="00AB475B" w:rsidRDefault="00441246" w:rsidP="00AB475B">
      <w:pPr>
        <w:pStyle w:val="BodyText"/>
        <w:ind w:left="460" w:right="122"/>
      </w:pPr>
    </w:p>
    <w:p w14:paraId="3A3E8E86" w14:textId="57919908" w:rsidR="008918C0" w:rsidRPr="00AB475B" w:rsidRDefault="008918C0" w:rsidP="00AB475B">
      <w:pPr>
        <w:adjustRightInd w:val="0"/>
        <w:snapToGrid w:val="0"/>
        <w:spacing w:line="240" w:lineRule="auto"/>
        <w:jc w:val="both"/>
        <w:rPr>
          <w:rFonts w:ascii="Times New Roman" w:hAnsi="Times New Roman" w:cs="Times New Roman"/>
          <w:sz w:val="24"/>
          <w:szCs w:val="24"/>
        </w:rPr>
      </w:pPr>
      <w:r w:rsidRPr="00AB475B">
        <w:rPr>
          <w:rFonts w:ascii="Times New Roman" w:hAnsi="Times New Roman" w:cs="Times New Roman"/>
          <w:sz w:val="24"/>
          <w:szCs w:val="24"/>
        </w:rPr>
        <w:t>Cost share is provided by Rutgers University</w:t>
      </w:r>
      <w:r w:rsidR="005811B0" w:rsidRPr="00AB475B">
        <w:rPr>
          <w:rFonts w:ascii="Times New Roman" w:hAnsi="Times New Roman" w:cs="Times New Roman"/>
          <w:sz w:val="24"/>
          <w:szCs w:val="24"/>
          <w:lang w:eastAsia="zh-CN"/>
        </w:rPr>
        <w:t xml:space="preserve"> and University of Akron</w:t>
      </w:r>
      <w:r w:rsidRPr="00AB475B">
        <w:rPr>
          <w:rFonts w:ascii="Times New Roman" w:hAnsi="Times New Roman" w:cs="Times New Roman"/>
          <w:sz w:val="24"/>
          <w:szCs w:val="24"/>
        </w:rPr>
        <w:t xml:space="preserve"> during this quarterly period as budgeted in the proposal.</w:t>
      </w:r>
    </w:p>
    <w:p w14:paraId="07A8A99E" w14:textId="77777777" w:rsidR="00A3682E" w:rsidRPr="00AB475B" w:rsidRDefault="00A3682E" w:rsidP="00AB475B">
      <w:pPr>
        <w:adjustRightInd w:val="0"/>
        <w:snapToGrid w:val="0"/>
        <w:spacing w:line="240" w:lineRule="auto"/>
        <w:jc w:val="both"/>
        <w:rPr>
          <w:rFonts w:ascii="Times New Roman" w:hAnsi="Times New Roman" w:cs="Times New Roman"/>
          <w:sz w:val="24"/>
          <w:szCs w:val="24"/>
        </w:rPr>
      </w:pPr>
    </w:p>
    <w:p w14:paraId="2D912318" w14:textId="77777777" w:rsidR="00441246" w:rsidRPr="00AB475B" w:rsidRDefault="00441246" w:rsidP="00AB475B">
      <w:pPr>
        <w:pStyle w:val="Heading1"/>
        <w:keepNext w:val="0"/>
        <w:keepLines w:val="0"/>
        <w:widowControl w:val="0"/>
        <w:numPr>
          <w:ilvl w:val="0"/>
          <w:numId w:val="27"/>
        </w:numPr>
        <w:autoSpaceDE w:val="0"/>
        <w:autoSpaceDN w:val="0"/>
        <w:spacing w:before="0" w:after="0"/>
        <w:ind w:left="360" w:hanging="360"/>
        <w:rPr>
          <w:rFonts w:cs="Times New Roman"/>
          <w:sz w:val="24"/>
          <w:szCs w:val="24"/>
        </w:rPr>
      </w:pPr>
      <w:r w:rsidRPr="00AB475B">
        <w:rPr>
          <w:rFonts w:cs="Times New Roman"/>
          <w:sz w:val="24"/>
          <w:szCs w:val="24"/>
        </w:rPr>
        <w:t xml:space="preserve">Technical Approach </w:t>
      </w:r>
    </w:p>
    <w:p w14:paraId="19D825B4" w14:textId="77777777" w:rsidR="006750C9" w:rsidRPr="00AB475B" w:rsidRDefault="006750C9" w:rsidP="00AB475B">
      <w:pPr>
        <w:pStyle w:val="BodyText"/>
        <w:jc w:val="both"/>
        <w:rPr>
          <w:u w:val="single"/>
        </w:rPr>
      </w:pPr>
    </w:p>
    <w:p w14:paraId="7D4EEA97" w14:textId="77777777" w:rsidR="00CE13E8" w:rsidRDefault="00CE13E8" w:rsidP="00AB475B">
      <w:pPr>
        <w:pStyle w:val="BodyText"/>
        <w:jc w:val="both"/>
        <w:rPr>
          <w:u w:val="single"/>
        </w:rPr>
      </w:pPr>
    </w:p>
    <w:p w14:paraId="03C8A88B" w14:textId="27A197F2" w:rsidR="005D5349" w:rsidRPr="00AB475B" w:rsidRDefault="005D5349" w:rsidP="00AB475B">
      <w:pPr>
        <w:pStyle w:val="BodyText"/>
        <w:jc w:val="both"/>
        <w:rPr>
          <w:u w:val="single"/>
        </w:rPr>
      </w:pPr>
      <w:r w:rsidRPr="00AB475B">
        <w:rPr>
          <w:u w:val="single"/>
        </w:rPr>
        <w:lastRenderedPageBreak/>
        <w:t>Task 1 Literature Review, Information Collection, and Refinement of Work Plan</w:t>
      </w:r>
      <w:r w:rsidR="009869A6" w:rsidRPr="00AB475B">
        <w:rPr>
          <w:u w:val="single"/>
        </w:rPr>
        <w:t xml:space="preserve"> (completed)</w:t>
      </w:r>
    </w:p>
    <w:p w14:paraId="5955BA4F" w14:textId="77777777" w:rsidR="006750C9" w:rsidRPr="00AB475B" w:rsidRDefault="006750C9" w:rsidP="00AB475B">
      <w:pPr>
        <w:pStyle w:val="BodyText"/>
        <w:jc w:val="both"/>
      </w:pPr>
    </w:p>
    <w:p w14:paraId="44F39BFA" w14:textId="73D83365" w:rsidR="0013518F" w:rsidRPr="00AB475B" w:rsidRDefault="0013518F" w:rsidP="00AB475B">
      <w:pPr>
        <w:pStyle w:val="BodyText"/>
        <w:jc w:val="both"/>
        <w:rPr>
          <w:u w:val="single"/>
        </w:rPr>
      </w:pPr>
      <w:r w:rsidRPr="00AB475B">
        <w:rPr>
          <w:u w:val="single"/>
        </w:rPr>
        <w:t>Task 2 Laboratory Tests of CP Performance under Various Factors</w:t>
      </w:r>
    </w:p>
    <w:p w14:paraId="27CF0135" w14:textId="77777777" w:rsidR="00D951D6" w:rsidRPr="00AB475B" w:rsidRDefault="00D951D6" w:rsidP="00AB475B">
      <w:pPr>
        <w:pStyle w:val="BodyText"/>
        <w:jc w:val="both"/>
        <w:rPr>
          <w:rFonts w:eastAsiaTheme="minorEastAsia"/>
          <w:lang w:eastAsia="zh-CN"/>
        </w:rPr>
      </w:pPr>
    </w:p>
    <w:p w14:paraId="0B397EB1" w14:textId="4D46DFC5" w:rsidR="008D0F7F" w:rsidRPr="00AB475B" w:rsidRDefault="008D0F7F"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Experimental study is started to evaluate the effectiveness of CP on the pipeline corrosion under different soil environments. The experimental setup set up to integrate applying cathodic protection (CP) while conducting electrochemical measurements, as shown in Figure 1. </w:t>
      </w:r>
    </w:p>
    <w:p w14:paraId="35DA0DB9" w14:textId="77777777" w:rsidR="008D0F7F" w:rsidRPr="00AB475B" w:rsidRDefault="008D0F7F" w:rsidP="00AB475B">
      <w:pPr>
        <w:spacing w:line="240" w:lineRule="auto"/>
        <w:ind w:left="360"/>
        <w:jc w:val="center"/>
        <w:rPr>
          <w:rFonts w:ascii="Times New Roman" w:hAnsi="Times New Roman" w:cs="Times New Roman"/>
          <w:sz w:val="24"/>
          <w:szCs w:val="24"/>
        </w:rPr>
      </w:pPr>
      <w:r w:rsidRPr="00AB475B">
        <w:rPr>
          <w:rFonts w:ascii="Times New Roman" w:hAnsi="Times New Roman" w:cs="Times New Roman"/>
          <w:noProof/>
          <w:sz w:val="24"/>
          <w:szCs w:val="24"/>
        </w:rPr>
        <w:drawing>
          <wp:inline distT="0" distB="0" distL="0" distR="0" wp14:anchorId="752BFCE0" wp14:editId="277AB996">
            <wp:extent cx="3208867" cy="4278489"/>
            <wp:effectExtent l="0" t="0" r="0" b="8255"/>
            <wp:docPr id="390664041" name="Picture 1" descr="A group of plastic containers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4041" name="Picture 1" descr="A group of plastic containers with wires&#10;&#10;AI-generated content may be incorrect."/>
                    <pic:cNvPicPr/>
                  </pic:nvPicPr>
                  <pic:blipFill>
                    <a:blip r:embed="rId9"/>
                    <a:stretch>
                      <a:fillRect/>
                    </a:stretch>
                  </pic:blipFill>
                  <pic:spPr>
                    <a:xfrm>
                      <a:off x="0" y="0"/>
                      <a:ext cx="3209997" cy="4279995"/>
                    </a:xfrm>
                    <a:prstGeom prst="rect">
                      <a:avLst/>
                    </a:prstGeom>
                  </pic:spPr>
                </pic:pic>
              </a:graphicData>
            </a:graphic>
          </wp:inline>
        </w:drawing>
      </w:r>
    </w:p>
    <w:p w14:paraId="094D4A67" w14:textId="54F23790" w:rsidR="008D0F7F" w:rsidRPr="00AB475B" w:rsidRDefault="009E7248" w:rsidP="00125250">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1 </w:t>
      </w:r>
      <w:r w:rsidR="008D0F7F" w:rsidRPr="00AB475B">
        <w:rPr>
          <w:rFonts w:ascii="Times New Roman" w:hAnsi="Times New Roman" w:cs="Times New Roman"/>
          <w:sz w:val="24"/>
          <w:szCs w:val="24"/>
        </w:rPr>
        <w:t>Electrochemical monitoring for metal coupons under different soil environments with cathodic protection.</w:t>
      </w:r>
    </w:p>
    <w:p w14:paraId="5B7C2BEF" w14:textId="44FD4E56" w:rsidR="008D0F7F" w:rsidRPr="00AB475B" w:rsidRDefault="008D0F7F"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The soil used for the study was Quikrete all-purpose soil purchased from The Home Depot. The soil was put into a testing soil box and prepared by a proctor compactor to achieve a similar compacted level. The moisture content in soil was adjusted by a mixed solution to meet the designed values. The mixed solution was 8.933 g/L KCl, 1.170 g/L MgSO</w:t>
      </w:r>
      <w:r w:rsidRPr="00AB475B">
        <w:rPr>
          <w:rFonts w:ascii="Times New Roman" w:hAnsi="Times New Roman" w:cs="Times New Roman"/>
          <w:sz w:val="24"/>
          <w:szCs w:val="24"/>
          <w:vertAlign w:val="subscript"/>
        </w:rPr>
        <w:t>4</w:t>
      </w:r>
      <w:r w:rsidRPr="00AB475B">
        <w:rPr>
          <w:rFonts w:ascii="Times New Roman" w:hAnsi="Times New Roman" w:cs="Times New Roman"/>
          <w:sz w:val="24"/>
          <w:szCs w:val="24"/>
        </w:rPr>
        <w:t>∙7H</w:t>
      </w:r>
      <w:r w:rsidRPr="00AB475B">
        <w:rPr>
          <w:rFonts w:ascii="Times New Roman" w:hAnsi="Times New Roman" w:cs="Times New Roman"/>
          <w:sz w:val="24"/>
          <w:szCs w:val="24"/>
          <w:vertAlign w:val="subscript"/>
        </w:rPr>
        <w:t>2</w:t>
      </w:r>
      <w:r w:rsidRPr="00AB475B">
        <w:rPr>
          <w:rFonts w:ascii="Times New Roman" w:hAnsi="Times New Roman" w:cs="Times New Roman"/>
          <w:sz w:val="24"/>
          <w:szCs w:val="24"/>
        </w:rPr>
        <w:t>O, and 5.510 g/L NaHCO</w:t>
      </w:r>
      <w:r w:rsidRPr="00AB475B">
        <w:rPr>
          <w:rFonts w:ascii="Times New Roman" w:hAnsi="Times New Roman" w:cs="Times New Roman"/>
          <w:sz w:val="24"/>
          <w:szCs w:val="24"/>
          <w:vertAlign w:val="subscript"/>
        </w:rPr>
        <w:t>3</w:t>
      </w:r>
      <w:r w:rsidRPr="00AB475B">
        <w:rPr>
          <w:rFonts w:ascii="Times New Roman" w:hAnsi="Times New Roman" w:cs="Times New Roman"/>
          <w:sz w:val="24"/>
          <w:szCs w:val="24"/>
        </w:rPr>
        <w:t>. 10</w:t>
      </w:r>
      <w:r w:rsidR="000412B5" w:rsidRPr="00AB475B">
        <w:rPr>
          <w:rFonts w:ascii="Times New Roman" w:hAnsi="Times New Roman" w:cs="Times New Roman"/>
          <w:sz w:val="24"/>
          <w:szCs w:val="24"/>
        </w:rPr>
        <w:t>, 20,</w:t>
      </w:r>
      <w:r w:rsidRPr="00AB475B">
        <w:rPr>
          <w:rFonts w:ascii="Times New Roman" w:hAnsi="Times New Roman" w:cs="Times New Roman"/>
          <w:sz w:val="24"/>
          <w:szCs w:val="24"/>
        </w:rPr>
        <w:t xml:space="preserve"> and 30 wt.% moisture content were studied this quarter. </w:t>
      </w:r>
    </w:p>
    <w:p w14:paraId="4CD95312" w14:textId="77777777" w:rsidR="008D0F7F" w:rsidRPr="00AB475B" w:rsidRDefault="008D0F7F"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The CP potential under study was 0, -850, and -1100 mV CSE, respectively. The metal for investigation was X70 steel. The mounted electrode was used for electrochemical measurement. The weight loss coupon of X70 was used for weight loss measurement. The corrosion rates were measured by Tafel testing and weight loss measurement, respectively. The location of the testing coupon was maintained at 30 cm below the surface of the soil. </w:t>
      </w:r>
    </w:p>
    <w:p w14:paraId="77EA99F2" w14:textId="77777777" w:rsidR="008D0F7F" w:rsidRPr="00AB475B" w:rsidRDefault="008D0F7F"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The experimental procedures were as follows: 1) open circuit potential (OCP) for 55 mins to make sure the system to achieve the steady state, 2) linear polarization resistance (LPR) measurement for 5 mins to measure the initial polarization resistance, 3) repeating loop every 12 hrs for 14 times (equally 7 days) in a series of a) applying CP potential for 11 hrs, b) OCP for 55 mins, c) LPR for 5 mins, 4) the final OCP for 1 hr, and 5) Tafel testing for 1 hr. The moisture content, pH, and resistivity of the soil were monitored during the testing time. </w:t>
      </w:r>
    </w:p>
    <w:p w14:paraId="4C08534D" w14:textId="77777777" w:rsidR="008D0F7F" w:rsidRPr="00AB475B" w:rsidRDefault="008D0F7F"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The metal coupons under 10 wt.% moisture content with and without cathodic protection after 7 days of testing are shown in Figure 2. The samples without cathodic protection show more corrosion spots on the metal surface than those with the cathodic protection. </w:t>
      </w:r>
    </w:p>
    <w:p w14:paraId="2879DEF3" w14:textId="77777777" w:rsidR="008D0F7F" w:rsidRPr="00AB475B" w:rsidRDefault="008D0F7F"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rPr>
        <w:drawing>
          <wp:inline distT="0" distB="0" distL="0" distR="0" wp14:anchorId="2A20C690" wp14:editId="466E3C62">
            <wp:extent cx="5657850" cy="2170078"/>
            <wp:effectExtent l="0" t="0" r="0" b="0"/>
            <wp:docPr id="80395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562" cy="2178789"/>
                    </a:xfrm>
                    <a:prstGeom prst="rect">
                      <a:avLst/>
                    </a:prstGeom>
                    <a:noFill/>
                  </pic:spPr>
                </pic:pic>
              </a:graphicData>
            </a:graphic>
          </wp:inline>
        </w:drawing>
      </w:r>
    </w:p>
    <w:p w14:paraId="666ACBFE" w14:textId="46D2364B" w:rsidR="008D0F7F" w:rsidRPr="00AB475B" w:rsidRDefault="009E7248"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Figure 2</w:t>
      </w:r>
      <w:r w:rsidR="008D0F7F" w:rsidRPr="00AB475B">
        <w:rPr>
          <w:rFonts w:ascii="Times New Roman" w:hAnsi="Times New Roman" w:cs="Times New Roman"/>
          <w:sz w:val="24"/>
          <w:szCs w:val="24"/>
        </w:rPr>
        <w:t xml:space="preserve"> Weight loss coupons after 7 days of the testing: the left two samples were under 10 wt.% moisture content without cathodic protection; the right two samples were under 10 wt.% moisture content with CP of -850 mV CSE. </w:t>
      </w:r>
    </w:p>
    <w:p w14:paraId="46CC6F2B" w14:textId="7F4BFCC3" w:rsidR="009869A6" w:rsidRPr="00AB475B" w:rsidRDefault="009869A6" w:rsidP="00AB475B">
      <w:pPr>
        <w:spacing w:line="240" w:lineRule="auto"/>
        <w:jc w:val="both"/>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An experimental plan considering </w:t>
      </w:r>
      <w:r w:rsidR="00825D9D" w:rsidRPr="00AB475B">
        <w:rPr>
          <w:rFonts w:ascii="Times New Roman" w:hAnsi="Times New Roman" w:cs="Times New Roman"/>
          <w:color w:val="000000"/>
          <w:sz w:val="24"/>
          <w:szCs w:val="24"/>
        </w:rPr>
        <w:t>testing</w:t>
      </w:r>
      <w:r w:rsidRPr="00AB475B">
        <w:rPr>
          <w:rFonts w:ascii="Times New Roman" w:hAnsi="Times New Roman" w:cs="Times New Roman"/>
          <w:color w:val="000000"/>
          <w:sz w:val="24"/>
          <w:szCs w:val="24"/>
        </w:rPr>
        <w:t xml:space="preserve"> parameters, metal </w:t>
      </w:r>
      <w:r w:rsidR="00825D9D" w:rsidRPr="00AB475B">
        <w:rPr>
          <w:rFonts w:ascii="Times New Roman" w:hAnsi="Times New Roman" w:cs="Times New Roman"/>
          <w:color w:val="000000"/>
          <w:sz w:val="24"/>
          <w:szCs w:val="24"/>
        </w:rPr>
        <w:t>coupon</w:t>
      </w:r>
      <w:r w:rsidRPr="00AB475B">
        <w:rPr>
          <w:rFonts w:ascii="Times New Roman" w:hAnsi="Times New Roman" w:cs="Times New Roman"/>
          <w:color w:val="000000"/>
          <w:sz w:val="24"/>
          <w:szCs w:val="24"/>
        </w:rPr>
        <w:t>s, soil samples, and testing procedures</w:t>
      </w:r>
      <w:r w:rsidR="00825D9D" w:rsidRPr="00AB475B">
        <w:rPr>
          <w:rFonts w:ascii="Times New Roman" w:hAnsi="Times New Roman" w:cs="Times New Roman"/>
          <w:color w:val="000000"/>
          <w:sz w:val="24"/>
          <w:szCs w:val="24"/>
        </w:rPr>
        <w:t xml:space="preserve"> was developed</w:t>
      </w:r>
      <w:r w:rsidRPr="00AB475B">
        <w:rPr>
          <w:rFonts w:ascii="Times New Roman" w:hAnsi="Times New Roman" w:cs="Times New Roman"/>
          <w:color w:val="000000"/>
          <w:sz w:val="24"/>
          <w:szCs w:val="24"/>
        </w:rPr>
        <w:t xml:space="preserve">. The experimental setups </w:t>
      </w:r>
      <w:r w:rsidR="00825D9D" w:rsidRPr="00AB475B">
        <w:rPr>
          <w:rFonts w:ascii="Times New Roman" w:hAnsi="Times New Roman" w:cs="Times New Roman"/>
          <w:color w:val="000000"/>
          <w:sz w:val="24"/>
          <w:szCs w:val="24"/>
        </w:rPr>
        <w:t xml:space="preserve">will </w:t>
      </w:r>
      <w:r w:rsidRPr="00AB475B">
        <w:rPr>
          <w:rFonts w:ascii="Times New Roman" w:hAnsi="Times New Roman" w:cs="Times New Roman"/>
          <w:color w:val="000000"/>
          <w:sz w:val="24"/>
          <w:szCs w:val="24"/>
        </w:rPr>
        <w:t xml:space="preserve">apply </w:t>
      </w:r>
      <w:r w:rsidR="00825D9D" w:rsidRPr="00AB475B">
        <w:rPr>
          <w:rFonts w:ascii="Times New Roman" w:hAnsi="Times New Roman" w:cs="Times New Roman"/>
          <w:color w:val="000000"/>
          <w:sz w:val="24"/>
          <w:szCs w:val="24"/>
        </w:rPr>
        <w:t>CP coupled</w:t>
      </w:r>
      <w:r w:rsidRPr="00AB475B">
        <w:rPr>
          <w:rFonts w:ascii="Times New Roman" w:hAnsi="Times New Roman" w:cs="Times New Roman"/>
          <w:color w:val="000000"/>
          <w:sz w:val="24"/>
          <w:szCs w:val="24"/>
        </w:rPr>
        <w:t xml:space="preserve"> with electrochemical measurements. The investigating parameters include CP levels, moisture content, soil pH, soil type, coupon location</w:t>
      </w:r>
      <w:r w:rsidR="00825D9D" w:rsidRPr="00AB475B">
        <w:rPr>
          <w:rFonts w:ascii="Times New Roman" w:hAnsi="Times New Roman" w:cs="Times New Roman"/>
          <w:color w:val="000000"/>
          <w:sz w:val="24"/>
          <w:szCs w:val="24"/>
        </w:rPr>
        <w:t xml:space="preserve"> in the soil</w:t>
      </w:r>
      <w:r w:rsidRPr="00AB475B">
        <w:rPr>
          <w:rFonts w:ascii="Times New Roman" w:hAnsi="Times New Roman" w:cs="Times New Roman"/>
          <w:color w:val="000000"/>
          <w:sz w:val="24"/>
          <w:szCs w:val="24"/>
        </w:rPr>
        <w:t xml:space="preserve">, and total experimental time with CP. The testing/monitoring parameters include soil resistance, moisture content, pH, true CP potential feedback, and corrosion rate. The corrosion rate can be measured by electrochemical measurement and weight loss measurement. The metal for investigation is X70. The metal will be fabricated into electrodes for electrochemical measurements. </w:t>
      </w:r>
    </w:p>
    <w:p w14:paraId="2BD19864" w14:textId="49D5322F" w:rsidR="009869A6" w:rsidRPr="00AB475B" w:rsidRDefault="009869A6" w:rsidP="00AB475B">
      <w:pPr>
        <w:spacing w:line="240" w:lineRule="auto"/>
        <w:jc w:val="both"/>
        <w:rPr>
          <w:rFonts w:ascii="Times New Roman" w:hAnsi="Times New Roman" w:cs="Times New Roman"/>
          <w:color w:val="000000"/>
          <w:sz w:val="24"/>
          <w:szCs w:val="24"/>
        </w:rPr>
      </w:pPr>
      <w:r w:rsidRPr="00AB475B">
        <w:rPr>
          <w:rFonts w:ascii="Times New Roman" w:hAnsi="Times New Roman" w:cs="Times New Roman"/>
          <w:color w:val="000000"/>
          <w:sz w:val="24"/>
          <w:szCs w:val="24"/>
        </w:rPr>
        <w:t>The students are</w:t>
      </w:r>
      <w:r w:rsidR="00825D9D" w:rsidRPr="00AB475B">
        <w:rPr>
          <w:rFonts w:ascii="Times New Roman" w:hAnsi="Times New Roman" w:cs="Times New Roman"/>
          <w:color w:val="000000"/>
          <w:sz w:val="24"/>
          <w:szCs w:val="24"/>
        </w:rPr>
        <w:t xml:space="preserve"> identifying and purchasing</w:t>
      </w:r>
      <w:r w:rsidRPr="00AB475B">
        <w:rPr>
          <w:rFonts w:ascii="Times New Roman" w:hAnsi="Times New Roman" w:cs="Times New Roman"/>
          <w:color w:val="000000"/>
          <w:sz w:val="24"/>
          <w:szCs w:val="24"/>
        </w:rPr>
        <w:t xml:space="preserve"> the required experimental materia</w:t>
      </w:r>
      <w:r w:rsidR="00825D9D" w:rsidRPr="00AB475B">
        <w:rPr>
          <w:rFonts w:ascii="Times New Roman" w:hAnsi="Times New Roman" w:cs="Times New Roman"/>
          <w:color w:val="000000"/>
          <w:sz w:val="24"/>
          <w:szCs w:val="24"/>
        </w:rPr>
        <w:t xml:space="preserve">ls and devices for the testing, including </w:t>
      </w:r>
      <w:r w:rsidRPr="00AB475B">
        <w:rPr>
          <w:rFonts w:ascii="Times New Roman" w:hAnsi="Times New Roman" w:cs="Times New Roman"/>
          <w:color w:val="000000"/>
          <w:sz w:val="24"/>
          <w:szCs w:val="24"/>
        </w:rPr>
        <w:t xml:space="preserve">metal </w:t>
      </w:r>
      <w:r w:rsidR="00825D9D" w:rsidRPr="00AB475B">
        <w:rPr>
          <w:rFonts w:ascii="Times New Roman" w:hAnsi="Times New Roman" w:cs="Times New Roman"/>
          <w:color w:val="000000"/>
          <w:sz w:val="24"/>
          <w:szCs w:val="24"/>
        </w:rPr>
        <w:t>coupon</w:t>
      </w:r>
      <w:r w:rsidRPr="00AB475B">
        <w:rPr>
          <w:rFonts w:ascii="Times New Roman" w:hAnsi="Times New Roman" w:cs="Times New Roman"/>
          <w:color w:val="000000"/>
          <w:sz w:val="24"/>
          <w:szCs w:val="24"/>
        </w:rPr>
        <w:t>s, soil samples, soil sensors</w:t>
      </w:r>
      <w:r w:rsidR="000F571B" w:rsidRPr="00AB475B">
        <w:rPr>
          <w:rFonts w:ascii="Times New Roman" w:hAnsi="Times New Roman" w:cs="Times New Roman"/>
          <w:color w:val="000000"/>
          <w:sz w:val="24"/>
          <w:szCs w:val="24"/>
        </w:rPr>
        <w:t xml:space="preserve"> (moisture content and pH)</w:t>
      </w:r>
      <w:r w:rsidRPr="00AB475B">
        <w:rPr>
          <w:rFonts w:ascii="Times New Roman" w:hAnsi="Times New Roman" w:cs="Times New Roman"/>
          <w:color w:val="000000"/>
          <w:sz w:val="24"/>
          <w:szCs w:val="24"/>
        </w:rPr>
        <w:t xml:space="preserve">, proctor compactor, soil meters, chemicals, etc. </w:t>
      </w:r>
    </w:p>
    <w:p w14:paraId="06987164" w14:textId="77777777" w:rsidR="00D951D6" w:rsidRPr="00AB475B" w:rsidRDefault="00D951D6" w:rsidP="00AB475B">
      <w:pPr>
        <w:spacing w:line="240" w:lineRule="auto"/>
        <w:jc w:val="both"/>
        <w:rPr>
          <w:rFonts w:ascii="Times New Roman" w:hAnsi="Times New Roman" w:cs="Times New Roman"/>
          <w:b/>
          <w:bCs/>
          <w:sz w:val="24"/>
          <w:szCs w:val="24"/>
        </w:rPr>
      </w:pPr>
    </w:p>
    <w:p w14:paraId="0C95EB88" w14:textId="5BCA64DE" w:rsidR="00080068" w:rsidRPr="00AB475B" w:rsidRDefault="00080068" w:rsidP="00AB475B">
      <w:pPr>
        <w:pStyle w:val="BodyText"/>
        <w:jc w:val="both"/>
        <w:rPr>
          <w:u w:val="single"/>
        </w:rPr>
      </w:pPr>
      <w:r w:rsidRPr="00AB475B">
        <w:rPr>
          <w:u w:val="single"/>
        </w:rPr>
        <w:t xml:space="preserve">Task 3 Modelling and Simulation of CP Performance </w:t>
      </w:r>
    </w:p>
    <w:p w14:paraId="04DE4C97" w14:textId="77777777" w:rsidR="005913EF" w:rsidRPr="00AB475B" w:rsidRDefault="005913EF" w:rsidP="00AB475B">
      <w:pPr>
        <w:spacing w:after="0" w:line="240" w:lineRule="auto"/>
        <w:jc w:val="both"/>
        <w:rPr>
          <w:rFonts w:ascii="Times New Roman" w:hAnsi="Times New Roman" w:cs="Times New Roman"/>
          <w:bCs/>
          <w:sz w:val="24"/>
          <w:szCs w:val="24"/>
        </w:rPr>
      </w:pPr>
    </w:p>
    <w:p w14:paraId="7210FC46" w14:textId="566904E5" w:rsidR="000412B5" w:rsidRPr="00AB475B" w:rsidRDefault="000412B5" w:rsidP="00AB475B">
      <w:pPr>
        <w:pStyle w:val="Default"/>
        <w:rPr>
          <w:b/>
          <w:bCs/>
          <w:color w:val="000000" w:themeColor="text1"/>
        </w:rPr>
      </w:pPr>
      <w:r w:rsidRPr="00AB475B">
        <w:rPr>
          <w:b/>
          <w:bCs/>
          <w:color w:val="000000" w:themeColor="text1"/>
        </w:rPr>
        <w:t>Experiment for Model Validation</w:t>
      </w:r>
    </w:p>
    <w:p w14:paraId="538DA9C4" w14:textId="7CB6A4DB" w:rsidR="00A92A11" w:rsidRPr="00AB475B" w:rsidRDefault="000412B5" w:rsidP="00AB475B">
      <w:pPr>
        <w:pStyle w:val="Default"/>
        <w:jc w:val="both"/>
        <w:rPr>
          <w:color w:val="000000" w:themeColor="text1"/>
        </w:rPr>
      </w:pPr>
      <w:r w:rsidRPr="00AB475B">
        <w:rPr>
          <w:color w:val="000000" w:themeColor="text1"/>
        </w:rPr>
        <w:t>The simulation model of pipe corrosion in soil was validated using experimental setup in the literature. The geometric setup of the model was based on the experimental configuration described in Azoor et al. (2019), which used a custom-designed electrochemical test cell to evaluate corrosion behavior under controlled soil saturation conditions. As shown in Figure 3(a), the test cell consisted of a 3D-printed cylindrical body and cap to house the soil and ensure repeatable electrode positioning. A cross-sectional 2D schematic illustrates the compacted soil region and the placement of the three-electrode system, including a working electrode, counter electrode, and reference electrode. As shown in Figure 3(b), the cross-sectional schematic illustrates the compacted soil and electrode configuration. The test cell had a diameter of 55 mm and a total height of 76 mm, with the soil layer occupying the central region of 33 mm in height and 39 mm in diameter.</w:t>
      </w:r>
      <w:r w:rsidR="00A92A11" w:rsidRPr="00AB475B">
        <w:rPr>
          <w:color w:val="000000" w:themeColor="text1"/>
        </w:rPr>
        <w:t xml:space="preserve"> </w:t>
      </w:r>
      <w:r w:rsidR="00A92A11" w:rsidRPr="00AB475B">
        <w:rPr>
          <w:color w:val="000000" w:themeColor="text1"/>
        </w:rPr>
        <w:t>Following this design, a 2-D finite element model was constructed with the same dimensions as the experimental setup shown in Figure 1(b). The geometry was defined to replicate the compacted soil region and the electrode placement within the cell, allowing direct comparison between simulation results and experimental observations.</w:t>
      </w:r>
    </w:p>
    <w:p w14:paraId="12B402FD" w14:textId="70045A81" w:rsidR="000412B5" w:rsidRPr="00AB475B" w:rsidRDefault="000412B5" w:rsidP="00AB475B">
      <w:pPr>
        <w:pStyle w:val="Default"/>
        <w:rPr>
          <w:color w:val="000000" w:themeColor="text1"/>
        </w:rPr>
      </w:pPr>
    </w:p>
    <w:p w14:paraId="1EE35EE2" w14:textId="77777777" w:rsidR="000412B5" w:rsidRPr="00AB475B" w:rsidRDefault="000412B5" w:rsidP="00AB475B">
      <w:pPr>
        <w:pStyle w:val="Default"/>
        <w:jc w:val="center"/>
        <w:rPr>
          <w:color w:val="000000" w:themeColor="text1"/>
        </w:rPr>
      </w:pPr>
      <w:r w:rsidRPr="00AB475B">
        <w:rPr>
          <w:noProof/>
          <w:color w:val="000000" w:themeColor="text1"/>
        </w:rPr>
        <w:drawing>
          <wp:inline distT="0" distB="0" distL="0" distR="0" wp14:anchorId="630F5691" wp14:editId="5E78F056">
            <wp:extent cx="5200650" cy="2434960"/>
            <wp:effectExtent l="0" t="0" r="0" b="3810"/>
            <wp:docPr id="1207242599" name="Picture 1" descr="Diagram of a compacted soll and a diagram of a compacted s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42599" name="Picture 1" descr="Diagram of a compacted soll and a diagram of a compacted soll&#10;&#10;AI-generated content may be incorrect."/>
                    <pic:cNvPicPr/>
                  </pic:nvPicPr>
                  <pic:blipFill>
                    <a:blip r:embed="rId11"/>
                    <a:stretch>
                      <a:fillRect/>
                    </a:stretch>
                  </pic:blipFill>
                  <pic:spPr>
                    <a:xfrm>
                      <a:off x="0" y="0"/>
                      <a:ext cx="5200650" cy="2434960"/>
                    </a:xfrm>
                    <a:prstGeom prst="rect">
                      <a:avLst/>
                    </a:prstGeom>
                  </pic:spPr>
                </pic:pic>
              </a:graphicData>
            </a:graphic>
          </wp:inline>
        </w:drawing>
      </w:r>
    </w:p>
    <w:p w14:paraId="13BBB5B5" w14:textId="7E59092A" w:rsidR="000412B5" w:rsidRPr="00AB475B" w:rsidRDefault="000412B5" w:rsidP="00AB475B">
      <w:pPr>
        <w:pStyle w:val="Default"/>
        <w:jc w:val="center"/>
        <w:rPr>
          <w:color w:val="000000" w:themeColor="text1"/>
        </w:rPr>
      </w:pPr>
      <w:r w:rsidRPr="00AB475B">
        <w:rPr>
          <w:color w:val="000000" w:themeColor="text1"/>
        </w:rPr>
        <w:t>Fig 3</w:t>
      </w:r>
      <w:r w:rsidR="009E7248" w:rsidRPr="00AB475B">
        <w:rPr>
          <w:color w:val="000000" w:themeColor="text1"/>
        </w:rPr>
        <w:t xml:space="preserve"> </w:t>
      </w:r>
      <w:r w:rsidRPr="00AB475B">
        <w:rPr>
          <w:color w:val="000000" w:themeColor="text1"/>
        </w:rPr>
        <w:t xml:space="preserve">The electrochemical cell design and schematic. (a) The cell design used in this study consists of a main body and cap and enables consistent placement of the electrodes. (b) Schematic illustrating the cross-sectional view of the compacted soil shows the electrode placement </w:t>
      </w:r>
      <w:r w:rsidRPr="00AB475B">
        <w:t>ATP (Azoor et al., 2019)</w:t>
      </w:r>
      <w:r w:rsidRPr="00AB475B">
        <w:rPr>
          <w:color w:val="000000" w:themeColor="text1"/>
        </w:rPr>
        <w:t>.</w:t>
      </w:r>
    </w:p>
    <w:p w14:paraId="23369DAC" w14:textId="77777777" w:rsidR="000412B5" w:rsidRPr="00AB475B" w:rsidRDefault="000412B5" w:rsidP="00AB475B">
      <w:pPr>
        <w:pStyle w:val="Default"/>
        <w:jc w:val="both"/>
        <w:rPr>
          <w:color w:val="000000" w:themeColor="text1"/>
        </w:rPr>
      </w:pPr>
    </w:p>
    <w:p w14:paraId="4CCB9C6C" w14:textId="576C5A61" w:rsidR="000412B5" w:rsidRPr="00AB475B" w:rsidRDefault="000412B5" w:rsidP="00520579">
      <w:pPr>
        <w:autoSpaceDE w:val="0"/>
        <w:autoSpaceDN w:val="0"/>
        <w:adjustRightInd w:val="0"/>
        <w:spacing w:before="120" w:after="0" w:line="240" w:lineRule="auto"/>
        <w:rPr>
          <w:rFonts w:ascii="Times New Roman" w:hAnsi="Times New Roman" w:cs="Times New Roman"/>
          <w:b/>
          <w:bCs/>
          <w:color w:val="000000" w:themeColor="text1"/>
          <w:sz w:val="24"/>
          <w:szCs w:val="24"/>
        </w:rPr>
      </w:pPr>
      <w:r w:rsidRPr="00AB475B">
        <w:rPr>
          <w:rFonts w:ascii="Times New Roman" w:hAnsi="Times New Roman" w:cs="Times New Roman"/>
          <w:b/>
          <w:bCs/>
          <w:color w:val="000000" w:themeColor="text1"/>
          <w:sz w:val="24"/>
          <w:szCs w:val="24"/>
        </w:rPr>
        <w:t>Input Parameters</w:t>
      </w:r>
    </w:p>
    <w:p w14:paraId="45911BD3" w14:textId="4FD23926"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Azoor et al. (2019) provided direct measurements of several key parameters relevant to corrosion in unsaturated soils. In this model, those experimentally obtained values and relationships are used directly as inputs to ensure consistency and realism. The study included three types of soil: sand, silt, and clay. Each of these soils exhibits distinct hydraulic and transport properties. These differences are reflected in the parameter values assigned in the model. These include the soil water retention curve (SWRC), oxygen diffusion coefficient, and the potentiodynamic polarization curves of different types of soil. Each parameter was defined as a function of the degree of saturation to capture the moisture-dependent behavior of unsaturated soils.</w:t>
      </w:r>
    </w:p>
    <w:p w14:paraId="33A49B3D" w14:textId="1E325A2C" w:rsidR="009E7248" w:rsidRPr="00AB475B" w:rsidRDefault="00674737"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The</w:t>
      </w:r>
      <w:r w:rsidR="000412B5" w:rsidRPr="00AB475B">
        <w:rPr>
          <w:rFonts w:ascii="Times New Roman" w:hAnsi="Times New Roman" w:cs="Times New Roman"/>
          <w:color w:val="000000"/>
          <w:sz w:val="24"/>
          <w:szCs w:val="24"/>
        </w:rPr>
        <w:t xml:space="preserve"> soil water retention curves were derived by fitting the experimental data to the van Genuchten (vG) model. The vG equation is shown below.</w:t>
      </w:r>
      <w:r w:rsidR="009E7248" w:rsidRPr="00AB475B">
        <w:rPr>
          <w:rFonts w:ascii="Times New Roman" w:hAnsi="Times New Roman" w:cs="Times New Roman"/>
          <w:color w:val="000000"/>
          <w:sz w:val="24"/>
          <w:szCs w:val="24"/>
        </w:rPr>
        <w:t xml:space="preserve"> The fitted vG model parameters for each soil type were obtained directly from the experimental data provided by Azoor et al. (2019). A summary of the fitted parameter values for sand, silt, and clay is also provided in Table 1.</w:t>
      </w:r>
    </w:p>
    <w:p w14:paraId="778A4EBD" w14:textId="0AB34593"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m:oMathPara>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e</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θ-</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θ</m:t>
                  </m:r>
                </m:e>
                <m:sub>
                  <m:r>
                    <w:rPr>
                      <w:rFonts w:ascii="Cambria Math" w:hAnsi="Cambria Math" w:cs="Times New Roman"/>
                      <w:color w:val="000000"/>
                      <w:sz w:val="24"/>
                      <w:szCs w:val="24"/>
                    </w:rPr>
                    <m:t>r</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θ</m:t>
                  </m:r>
                </m:e>
                <m:sub>
                  <m:r>
                    <w:rPr>
                      <w:rFonts w:ascii="Cambria Math" w:hAnsi="Cambria Math" w:cs="Times New Roman"/>
                      <w:color w:val="000000"/>
                      <w:sz w:val="24"/>
                      <w:szCs w:val="24"/>
                    </w:rPr>
                    <m:t>s</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θ</m:t>
                  </m:r>
                </m:e>
                <m:sub>
                  <m:r>
                    <w:rPr>
                      <w:rFonts w:ascii="Cambria Math" w:hAnsi="Cambria Math" w:cs="Times New Roman"/>
                      <w:color w:val="000000"/>
                      <w:sz w:val="24"/>
                      <w:szCs w:val="24"/>
                    </w:rPr>
                    <m:t>r</m:t>
                  </m:r>
                </m:sub>
              </m:sSub>
            </m:den>
          </m:f>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[1+</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(αh)</m:t>
                  </m:r>
                </m:e>
                <m:sup>
                  <m:r>
                    <w:rPr>
                      <w:rFonts w:ascii="Cambria Math" w:hAnsi="Cambria Math" w:cs="Times New Roman"/>
                      <w:color w:val="000000"/>
                      <w:sz w:val="24"/>
                      <w:szCs w:val="24"/>
                    </w:rPr>
                    <m:t>n</m:t>
                  </m:r>
                </m:sup>
              </m:sSup>
              <m:r>
                <w:rPr>
                  <w:rFonts w:ascii="Cambria Math" w:hAnsi="Cambria Math" w:cs="Times New Roman"/>
                  <w:color w:val="000000"/>
                  <w:sz w:val="24"/>
                  <w:szCs w:val="24"/>
                </w:rPr>
                <m:t>]</m:t>
              </m:r>
            </m:e>
            <m:sup>
              <m:r>
                <w:rPr>
                  <w:rFonts w:ascii="Cambria Math" w:hAnsi="Cambria Math" w:cs="Times New Roman"/>
                  <w:color w:val="000000"/>
                  <w:sz w:val="24"/>
                  <w:szCs w:val="24"/>
                </w:rPr>
                <m:t>-m</m:t>
              </m:r>
            </m:sup>
          </m:sSup>
          <m:r>
            <w:rPr>
              <w:rFonts w:ascii="Cambria Math" w:hAnsi="Cambria Math" w:cs="Times New Roman"/>
              <w:color w:val="000000"/>
              <w:sz w:val="24"/>
              <w:szCs w:val="24"/>
            </w:rPr>
            <m:t>,     m=1-1/n</m:t>
          </m:r>
        </m:oMath>
      </m:oMathPara>
    </w:p>
    <w:p w14:paraId="0FFB9695" w14:textId="7FD38E68"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Where, </w:t>
      </w:r>
      <w:r w:rsidRPr="00AB475B">
        <w:rPr>
          <w:rFonts w:ascii="Times New Roman" w:hAnsi="Times New Roman" w:cs="Times New Roman"/>
          <w:i/>
          <w:iCs/>
          <w:color w:val="000000"/>
          <w:sz w:val="24"/>
          <w:szCs w:val="24"/>
        </w:rPr>
        <w:t>S</w:t>
      </w:r>
      <w:r w:rsidRPr="00AB475B">
        <w:rPr>
          <w:rFonts w:ascii="Times New Roman" w:hAnsi="Times New Roman" w:cs="Times New Roman"/>
          <w:i/>
          <w:iCs/>
          <w:color w:val="000000"/>
          <w:sz w:val="24"/>
          <w:szCs w:val="24"/>
          <w:vertAlign w:val="subscript"/>
        </w:rPr>
        <w:t>e</w:t>
      </w:r>
      <w:r w:rsidRPr="00AB475B">
        <w:rPr>
          <w:rFonts w:ascii="Times New Roman" w:hAnsi="Times New Roman" w:cs="Times New Roman"/>
          <w:color w:val="000000"/>
          <w:sz w:val="24"/>
          <w:szCs w:val="24"/>
        </w:rPr>
        <w:t xml:space="preserve"> is the effective saturation, </w:t>
      </w:r>
      <w:r w:rsidRPr="00AB475B">
        <w:rPr>
          <w:rFonts w:ascii="Times New Roman" w:hAnsi="Times New Roman" w:cs="Times New Roman"/>
          <w:i/>
          <w:iCs/>
          <w:color w:val="000000"/>
          <w:sz w:val="24"/>
          <w:szCs w:val="24"/>
        </w:rPr>
        <w:t>θ</w:t>
      </w:r>
      <w:r w:rsidRPr="00AB475B">
        <w:rPr>
          <w:rFonts w:ascii="Times New Roman" w:hAnsi="Times New Roman" w:cs="Times New Roman"/>
          <w:color w:val="000000"/>
          <w:sz w:val="24"/>
          <w:szCs w:val="24"/>
        </w:rPr>
        <w:t xml:space="preserve"> is the volumetric water content, </w:t>
      </w:r>
      <w:r w:rsidRPr="00AB475B">
        <w:rPr>
          <w:rFonts w:ascii="Times New Roman" w:hAnsi="Times New Roman" w:cs="Times New Roman"/>
          <w:i/>
          <w:iCs/>
          <w:color w:val="000000"/>
          <w:sz w:val="24"/>
          <w:szCs w:val="24"/>
        </w:rPr>
        <w:t>θ</w:t>
      </w:r>
      <w:r w:rsidRPr="00AB475B">
        <w:rPr>
          <w:rFonts w:ascii="Times New Roman" w:hAnsi="Times New Roman" w:cs="Times New Roman"/>
          <w:i/>
          <w:iCs/>
          <w:color w:val="000000"/>
          <w:sz w:val="24"/>
          <w:szCs w:val="24"/>
          <w:vertAlign w:val="subscript"/>
        </w:rPr>
        <w:t>s</w:t>
      </w:r>
      <w:r w:rsidRPr="00AB475B">
        <w:rPr>
          <w:rFonts w:ascii="Times New Roman" w:hAnsi="Times New Roman" w:cs="Times New Roman"/>
          <w:color w:val="000000"/>
          <w:sz w:val="24"/>
          <w:szCs w:val="24"/>
        </w:rPr>
        <w:t xml:space="preserve"> and </w:t>
      </w:r>
      <w:r w:rsidRPr="00AB475B">
        <w:rPr>
          <w:rFonts w:ascii="Times New Roman" w:hAnsi="Times New Roman" w:cs="Times New Roman"/>
          <w:i/>
          <w:iCs/>
          <w:color w:val="000000"/>
          <w:sz w:val="24"/>
          <w:szCs w:val="24"/>
        </w:rPr>
        <w:t>θ</w:t>
      </w:r>
      <w:r w:rsidRPr="00AB475B">
        <w:rPr>
          <w:rFonts w:ascii="Times New Roman" w:hAnsi="Times New Roman" w:cs="Times New Roman"/>
          <w:i/>
          <w:iCs/>
          <w:color w:val="000000"/>
          <w:sz w:val="24"/>
          <w:szCs w:val="24"/>
          <w:vertAlign w:val="subscript"/>
        </w:rPr>
        <w:t>r</w:t>
      </w:r>
      <w:r w:rsidRPr="00AB475B">
        <w:rPr>
          <w:rFonts w:ascii="Times New Roman" w:hAnsi="Times New Roman" w:cs="Times New Roman"/>
          <w:color w:val="000000"/>
          <w:sz w:val="24"/>
          <w:szCs w:val="24"/>
        </w:rPr>
        <w:t xml:space="preserve"> are the saturated and residual water contents, </w:t>
      </w:r>
      <w:r w:rsidRPr="00AB475B">
        <w:rPr>
          <w:rFonts w:ascii="Times New Roman" w:hAnsi="Times New Roman" w:cs="Times New Roman"/>
          <w:i/>
          <w:iCs/>
          <w:color w:val="000000"/>
          <w:sz w:val="24"/>
          <w:szCs w:val="24"/>
        </w:rPr>
        <w:t>h</w:t>
      </w:r>
      <w:r w:rsidRPr="00AB475B">
        <w:rPr>
          <w:rFonts w:ascii="Times New Roman" w:hAnsi="Times New Roman" w:cs="Times New Roman"/>
          <w:color w:val="000000"/>
          <w:sz w:val="24"/>
          <w:szCs w:val="24"/>
        </w:rPr>
        <w:t xml:space="preserve"> is the soil suction (pressure head), and </w:t>
      </w:r>
      <w:r w:rsidRPr="00AB475B">
        <w:rPr>
          <w:rFonts w:ascii="Times New Roman" w:hAnsi="Times New Roman" w:cs="Times New Roman"/>
          <w:i/>
          <w:iCs/>
          <w:color w:val="000000"/>
          <w:sz w:val="24"/>
          <w:szCs w:val="24"/>
        </w:rPr>
        <w:t>α</w:t>
      </w:r>
      <w:r w:rsidRPr="00AB475B">
        <w:rPr>
          <w:rFonts w:ascii="Times New Roman" w:hAnsi="Times New Roman" w:cs="Times New Roman"/>
          <w:color w:val="000000"/>
          <w:sz w:val="24"/>
          <w:szCs w:val="24"/>
        </w:rPr>
        <w:t xml:space="preserve">, </w:t>
      </w:r>
      <w:r w:rsidRPr="00AB475B">
        <w:rPr>
          <w:rFonts w:ascii="Times New Roman" w:hAnsi="Times New Roman" w:cs="Times New Roman"/>
          <w:i/>
          <w:iCs/>
          <w:color w:val="000000"/>
          <w:sz w:val="24"/>
          <w:szCs w:val="24"/>
        </w:rPr>
        <w:t>n</w:t>
      </w:r>
      <w:r w:rsidRPr="00AB475B">
        <w:rPr>
          <w:rFonts w:ascii="Times New Roman" w:hAnsi="Times New Roman" w:cs="Times New Roman"/>
          <w:color w:val="000000"/>
          <w:sz w:val="24"/>
          <w:szCs w:val="24"/>
        </w:rPr>
        <w:t>, and</w:t>
      </w:r>
      <w:r w:rsidRPr="00AB475B">
        <w:rPr>
          <w:rFonts w:ascii="Times New Roman" w:hAnsi="Times New Roman" w:cs="Times New Roman"/>
          <w:i/>
          <w:iCs/>
          <w:color w:val="000000"/>
          <w:sz w:val="24"/>
          <w:szCs w:val="24"/>
        </w:rPr>
        <w:t xml:space="preserve"> m</w:t>
      </w:r>
      <w:r w:rsidRPr="00AB475B">
        <w:rPr>
          <w:rFonts w:ascii="Times New Roman" w:hAnsi="Times New Roman" w:cs="Times New Roman"/>
          <w:color w:val="000000"/>
          <w:sz w:val="24"/>
          <w:szCs w:val="24"/>
        </w:rPr>
        <w:t xml:space="preserve"> are fitting parameters.</w:t>
      </w:r>
    </w:p>
    <w:p w14:paraId="51484B75" w14:textId="7E3EBCE1"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Table 1</w:t>
      </w:r>
      <w:r w:rsidR="00BB71D8" w:rsidRPr="00AB475B">
        <w:rPr>
          <w:rFonts w:ascii="Times New Roman" w:hAnsi="Times New Roman" w:cs="Times New Roman"/>
          <w:color w:val="000000"/>
          <w:sz w:val="24"/>
          <w:szCs w:val="24"/>
        </w:rPr>
        <w:t xml:space="preserve"> </w:t>
      </w:r>
      <w:r w:rsidRPr="00AB475B">
        <w:rPr>
          <w:rFonts w:ascii="Times New Roman" w:hAnsi="Times New Roman" w:cs="Times New Roman"/>
          <w:color w:val="000000"/>
          <w:sz w:val="24"/>
          <w:szCs w:val="24"/>
        </w:rPr>
        <w:t xml:space="preserve">Fitted </w:t>
      </w:r>
      <w:r w:rsidR="009E7248" w:rsidRPr="00AB475B">
        <w:rPr>
          <w:rFonts w:ascii="Times New Roman" w:hAnsi="Times New Roman" w:cs="Times New Roman"/>
          <w:color w:val="000000"/>
          <w:sz w:val="24"/>
          <w:szCs w:val="24"/>
        </w:rPr>
        <w:t>vG model</w:t>
      </w:r>
      <w:r w:rsidRPr="00AB475B">
        <w:rPr>
          <w:rFonts w:ascii="Times New Roman" w:hAnsi="Times New Roman" w:cs="Times New Roman"/>
          <w:color w:val="000000"/>
          <w:sz w:val="24"/>
          <w:szCs w:val="24"/>
        </w:rPr>
        <w:t xml:space="preserve"> parameters for sand, silt, and clay based on experimental data</w:t>
      </w:r>
    </w:p>
    <w:tbl>
      <w:tblPr>
        <w:tblStyle w:val="TableGrid0"/>
        <w:tblW w:w="0" w:type="auto"/>
        <w:tblLook w:val="04A0" w:firstRow="1" w:lastRow="0" w:firstColumn="1" w:lastColumn="0" w:noHBand="0" w:noVBand="1"/>
      </w:tblPr>
      <w:tblGrid>
        <w:gridCol w:w="2254"/>
        <w:gridCol w:w="2254"/>
        <w:gridCol w:w="2254"/>
        <w:gridCol w:w="2254"/>
      </w:tblGrid>
      <w:tr w:rsidR="000412B5" w:rsidRPr="00AB475B" w14:paraId="0697065A" w14:textId="77777777" w:rsidTr="00CC0F74">
        <w:tc>
          <w:tcPr>
            <w:tcW w:w="2254" w:type="dxa"/>
          </w:tcPr>
          <w:p w14:paraId="5D83AA08"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p>
        </w:tc>
        <w:tc>
          <w:tcPr>
            <w:tcW w:w="2254" w:type="dxa"/>
          </w:tcPr>
          <w:p w14:paraId="1F1EEFA4"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Sand</w:t>
            </w:r>
          </w:p>
        </w:tc>
        <w:tc>
          <w:tcPr>
            <w:tcW w:w="2254" w:type="dxa"/>
          </w:tcPr>
          <w:p w14:paraId="00DC2E4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Silt</w:t>
            </w:r>
          </w:p>
        </w:tc>
        <w:tc>
          <w:tcPr>
            <w:tcW w:w="2254" w:type="dxa"/>
          </w:tcPr>
          <w:p w14:paraId="19E879D8"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Clay</w:t>
            </w:r>
          </w:p>
        </w:tc>
      </w:tr>
      <w:tr w:rsidR="000412B5" w:rsidRPr="00AB475B" w14:paraId="666EA5A3" w14:textId="77777777" w:rsidTr="00CC0F74">
        <w:tc>
          <w:tcPr>
            <w:tcW w:w="2254" w:type="dxa"/>
          </w:tcPr>
          <w:p w14:paraId="6ADB501F"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α (1/m)</w:t>
            </w:r>
          </w:p>
        </w:tc>
        <w:tc>
          <w:tcPr>
            <w:tcW w:w="2254" w:type="dxa"/>
            <w:vAlign w:val="bottom"/>
          </w:tcPr>
          <w:p w14:paraId="7A9D97E7"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2.2713</w:t>
            </w:r>
          </w:p>
        </w:tc>
        <w:tc>
          <w:tcPr>
            <w:tcW w:w="2254" w:type="dxa"/>
            <w:vAlign w:val="bottom"/>
          </w:tcPr>
          <w:p w14:paraId="0AD96B0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0.5011</w:t>
            </w:r>
          </w:p>
        </w:tc>
        <w:tc>
          <w:tcPr>
            <w:tcW w:w="2254" w:type="dxa"/>
            <w:vAlign w:val="bottom"/>
          </w:tcPr>
          <w:p w14:paraId="51EC0452"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0.1215</w:t>
            </w:r>
          </w:p>
        </w:tc>
      </w:tr>
      <w:tr w:rsidR="000412B5" w:rsidRPr="00AB475B" w14:paraId="3C39708F" w14:textId="77777777" w:rsidTr="00CC0F74">
        <w:tc>
          <w:tcPr>
            <w:tcW w:w="2254" w:type="dxa"/>
          </w:tcPr>
          <w:p w14:paraId="3DD554F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n</w:t>
            </w:r>
          </w:p>
        </w:tc>
        <w:tc>
          <w:tcPr>
            <w:tcW w:w="2254" w:type="dxa"/>
            <w:vAlign w:val="bottom"/>
          </w:tcPr>
          <w:p w14:paraId="3C29D0D7"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11.455</w:t>
            </w:r>
          </w:p>
        </w:tc>
        <w:tc>
          <w:tcPr>
            <w:tcW w:w="2254" w:type="dxa"/>
            <w:vAlign w:val="bottom"/>
          </w:tcPr>
          <w:p w14:paraId="2B3D8FA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1.415</w:t>
            </w:r>
          </w:p>
        </w:tc>
        <w:tc>
          <w:tcPr>
            <w:tcW w:w="2254" w:type="dxa"/>
            <w:vAlign w:val="bottom"/>
          </w:tcPr>
          <w:p w14:paraId="73BD3223"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1.3558</w:t>
            </w:r>
          </w:p>
        </w:tc>
      </w:tr>
    </w:tbl>
    <w:p w14:paraId="02A003EE" w14:textId="77777777" w:rsidR="000412B5" w:rsidRPr="00AB475B" w:rsidRDefault="000412B5" w:rsidP="00520579">
      <w:pPr>
        <w:autoSpaceDE w:val="0"/>
        <w:autoSpaceDN w:val="0"/>
        <w:adjustRightInd w:val="0"/>
        <w:spacing w:after="0" w:line="240" w:lineRule="auto"/>
        <w:rPr>
          <w:rFonts w:ascii="Times New Roman" w:hAnsi="Times New Roman" w:cs="Times New Roman"/>
          <w:color w:val="000000"/>
          <w:sz w:val="24"/>
          <w:szCs w:val="24"/>
        </w:rPr>
      </w:pPr>
    </w:p>
    <w:p w14:paraId="4FC37D1A" w14:textId="13018123"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Since the soil specimens in the experiment were compacted and the height of the soil column was relatively small (33 mm), the water content was assumed to be uniform throughout the domain. Therefore, the SWRC was not expected to influence the corrosion process during the experiments. Moreover, the focus of the study was to compare corrosion rates under different fixed saturation levels. As a result, the SWRC was not directly used as an input in this model. Nevertheless, obtaining the SWRC remains important for future modeling of CP systems</w:t>
      </w:r>
      <w:r w:rsidR="00CE2D2B" w:rsidRPr="00AB475B">
        <w:rPr>
          <w:rFonts w:ascii="Times New Roman" w:hAnsi="Times New Roman" w:cs="Times New Roman"/>
          <w:color w:val="000000"/>
          <w:sz w:val="24"/>
          <w:szCs w:val="24"/>
        </w:rPr>
        <w:t xml:space="preserve"> in the field</w:t>
      </w:r>
      <w:r w:rsidRPr="00AB475B">
        <w:rPr>
          <w:rFonts w:ascii="Times New Roman" w:hAnsi="Times New Roman" w:cs="Times New Roman"/>
          <w:color w:val="000000"/>
          <w:sz w:val="24"/>
          <w:szCs w:val="24"/>
        </w:rPr>
        <w:t>, where moisture redistribution and unsaturated flow will significantly influence corrosion behavior</w:t>
      </w:r>
      <w:r w:rsidR="00CE2D2B" w:rsidRPr="00AB475B">
        <w:rPr>
          <w:rFonts w:ascii="Times New Roman" w:hAnsi="Times New Roman" w:cs="Times New Roman"/>
          <w:color w:val="000000"/>
          <w:sz w:val="24"/>
          <w:szCs w:val="24"/>
        </w:rPr>
        <w:t xml:space="preserve"> along different soil depth</w:t>
      </w:r>
      <w:r w:rsidRPr="00AB475B">
        <w:rPr>
          <w:rFonts w:ascii="Times New Roman" w:hAnsi="Times New Roman" w:cs="Times New Roman"/>
          <w:color w:val="000000"/>
          <w:sz w:val="24"/>
          <w:szCs w:val="24"/>
        </w:rPr>
        <w:t>. The consistency between the SWRC and other measured parameters also ensures a solid foundation for the extension of this model.</w:t>
      </w:r>
    </w:p>
    <w:p w14:paraId="26ABBA66" w14:textId="4A6A708F"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The oxygen diffusion coefficient plays a key role in determining the availability of oxygen at the metal surface and is therefore directly linked to corrosion activity. In the referenced study, Azoor et al. (2019) reported the variation of diffusion coefficient as a function of the degree of saturation for sand, silt, and clay.</w:t>
      </w:r>
      <w:r w:rsidR="00674737" w:rsidRPr="00AB475B">
        <w:rPr>
          <w:rFonts w:ascii="Times New Roman" w:hAnsi="Times New Roman" w:cs="Times New Roman"/>
          <w:color w:val="000000"/>
          <w:sz w:val="24"/>
          <w:szCs w:val="24"/>
        </w:rPr>
        <w:t xml:space="preserve"> </w:t>
      </w:r>
      <w:r w:rsidRPr="00AB475B">
        <w:rPr>
          <w:rFonts w:ascii="Times New Roman" w:hAnsi="Times New Roman" w:cs="Times New Roman"/>
          <w:color w:val="000000"/>
          <w:sz w:val="24"/>
          <w:szCs w:val="24"/>
        </w:rPr>
        <w:t xml:space="preserve">As shown in Figure </w:t>
      </w:r>
      <w:r w:rsidR="00674737" w:rsidRPr="00AB475B">
        <w:rPr>
          <w:rFonts w:ascii="Times New Roman" w:hAnsi="Times New Roman" w:cs="Times New Roman"/>
          <w:color w:val="000000"/>
          <w:sz w:val="24"/>
          <w:szCs w:val="24"/>
        </w:rPr>
        <w:t>4</w:t>
      </w:r>
      <w:r w:rsidRPr="00AB475B">
        <w:rPr>
          <w:rFonts w:ascii="Times New Roman" w:hAnsi="Times New Roman" w:cs="Times New Roman"/>
          <w:color w:val="000000"/>
          <w:sz w:val="24"/>
          <w:szCs w:val="24"/>
        </w:rPr>
        <w:t xml:space="preserve">, the diffusion coefficient exhibits distinct trends for the three soil types. For all soils, the coefficient remains relatively stable at lower degrees of saturation, then decreases significantly as saturation increases. This drop is most pronounced in clay, which maintains a higher diffusion capacity up to near full saturation, while sand shows a steeper decline at lower saturation levels due to its larger pores and faster air phase disconnection. These differences reflect the contrasting pore structures and air-filled connectivity of the materials. In this model, the diffusion coefficient was incorporated as a predefined analytical function of saturation, using the smoothed curves fitted from the experimental data. </w:t>
      </w:r>
    </w:p>
    <w:p w14:paraId="09E0064B"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noProof/>
          <w:sz w:val="24"/>
          <w:szCs w:val="24"/>
        </w:rPr>
        <w:drawing>
          <wp:inline distT="0" distB="0" distL="0" distR="0" wp14:anchorId="7B2F05A0" wp14:editId="3FF98FE1">
            <wp:extent cx="4267200" cy="1828800"/>
            <wp:effectExtent l="0" t="0" r="0" b="0"/>
            <wp:docPr id="854280702" name="Chart 1">
              <a:extLst xmlns:a="http://schemas.openxmlformats.org/drawingml/2006/main">
                <a:ext uri="{FF2B5EF4-FFF2-40B4-BE49-F238E27FC236}">
                  <a16:creationId xmlns:a16="http://schemas.microsoft.com/office/drawing/2014/main" id="{59564B6D-32A8-2654-16A3-83DC22E79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5E223E" w14:textId="5D270255"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Figure </w:t>
      </w:r>
      <w:r w:rsidR="00674737" w:rsidRPr="00AB475B">
        <w:rPr>
          <w:rFonts w:ascii="Times New Roman" w:hAnsi="Times New Roman" w:cs="Times New Roman"/>
          <w:color w:val="000000"/>
          <w:sz w:val="24"/>
          <w:szCs w:val="24"/>
        </w:rPr>
        <w:t>4</w:t>
      </w:r>
      <w:r w:rsidRPr="00AB475B">
        <w:rPr>
          <w:rFonts w:ascii="Times New Roman" w:hAnsi="Times New Roman" w:cs="Times New Roman"/>
          <w:color w:val="000000"/>
          <w:sz w:val="24"/>
          <w:szCs w:val="24"/>
        </w:rPr>
        <w:t xml:space="preserve"> Variation of oxygen diffusion coefficient with degree of satur</w:t>
      </w:r>
      <w:r w:rsidR="00674737" w:rsidRPr="00AB475B">
        <w:rPr>
          <w:rFonts w:ascii="Times New Roman" w:hAnsi="Times New Roman" w:cs="Times New Roman"/>
          <w:color w:val="000000"/>
          <w:sz w:val="24"/>
          <w:szCs w:val="24"/>
        </w:rPr>
        <w:t xml:space="preserve">ation for sand, silt, and clay </w:t>
      </w:r>
      <w:r w:rsidRPr="00AB475B">
        <w:rPr>
          <w:rFonts w:ascii="Times New Roman" w:hAnsi="Times New Roman" w:cs="Times New Roman"/>
          <w:color w:val="000000"/>
          <w:sz w:val="24"/>
          <w:szCs w:val="24"/>
        </w:rPr>
        <w:t>based on experimental data reported by Azoor et al. (2019).</w:t>
      </w:r>
    </w:p>
    <w:p w14:paraId="20548ACE" w14:textId="4DC5E739"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Electrical conductivity is an important factor in corrosion modeling. However, the referenced study did not provide a quantitative relationship between conductivity and moisture. </w:t>
      </w:r>
      <w:r w:rsidR="00CC0F74" w:rsidRPr="00AB475B">
        <w:rPr>
          <w:rFonts w:ascii="Times New Roman" w:hAnsi="Times New Roman" w:cs="Times New Roman"/>
          <w:color w:val="000000"/>
          <w:sz w:val="24"/>
          <w:szCs w:val="24"/>
        </w:rPr>
        <w:t xml:space="preserve">Thus, the empirical relationship between moisture content and electrical conductivity from other existing literature was used. </w:t>
      </w:r>
      <w:r w:rsidRPr="00AB475B">
        <w:rPr>
          <w:rFonts w:ascii="Times New Roman" w:hAnsi="Times New Roman" w:cs="Times New Roman"/>
          <w:color w:val="000000"/>
          <w:sz w:val="24"/>
          <w:szCs w:val="24"/>
        </w:rPr>
        <w:t>Given the small size of the experimental cell, the role of conductivity was likely minimal in this context. This</w:t>
      </w:r>
      <w:r w:rsidR="00CC0F74" w:rsidRPr="00AB475B">
        <w:rPr>
          <w:rFonts w:ascii="Times New Roman" w:hAnsi="Times New Roman" w:cs="Times New Roman"/>
          <w:color w:val="000000"/>
          <w:sz w:val="24"/>
          <w:szCs w:val="24"/>
        </w:rPr>
        <w:t xml:space="preserve"> was verified by </w:t>
      </w:r>
      <w:r w:rsidRPr="00AB475B">
        <w:rPr>
          <w:rFonts w:ascii="Times New Roman" w:hAnsi="Times New Roman" w:cs="Times New Roman"/>
          <w:color w:val="000000"/>
          <w:sz w:val="24"/>
          <w:szCs w:val="24"/>
        </w:rPr>
        <w:t xml:space="preserve">simulation results. </w:t>
      </w:r>
    </w:p>
    <w:p w14:paraId="3384F69D" w14:textId="55C8E191"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In addition to transport-related parameters, the polarization behavior of the metal surface was also characterized in the experimental study. Azoor et al. (2019) provided polarization c</w:t>
      </w:r>
      <w:r w:rsidR="00BB71D8" w:rsidRPr="00AB475B">
        <w:rPr>
          <w:rFonts w:ascii="Times New Roman" w:hAnsi="Times New Roman" w:cs="Times New Roman"/>
          <w:color w:val="000000"/>
          <w:sz w:val="24"/>
          <w:szCs w:val="24"/>
        </w:rPr>
        <w:t xml:space="preserve">urves for each of </w:t>
      </w:r>
      <w:r w:rsidRPr="00AB475B">
        <w:rPr>
          <w:rFonts w:ascii="Times New Roman" w:hAnsi="Times New Roman" w:cs="Times New Roman"/>
          <w:color w:val="000000"/>
          <w:sz w:val="24"/>
          <w:szCs w:val="24"/>
        </w:rPr>
        <w:t>three soil types. Based on these curves, Tafel parameters were extracted using electrochemical analysis methods.</w:t>
      </w:r>
      <w:r w:rsidR="00BB71D8" w:rsidRPr="00AB475B">
        <w:rPr>
          <w:rFonts w:ascii="Times New Roman" w:hAnsi="Times New Roman" w:cs="Times New Roman"/>
          <w:color w:val="000000"/>
          <w:sz w:val="24"/>
          <w:szCs w:val="24"/>
        </w:rPr>
        <w:t xml:space="preserve"> </w:t>
      </w:r>
      <w:r w:rsidRPr="00AB475B">
        <w:rPr>
          <w:rFonts w:ascii="Times New Roman" w:hAnsi="Times New Roman" w:cs="Times New Roman"/>
          <w:color w:val="000000"/>
          <w:sz w:val="24"/>
          <w:szCs w:val="24"/>
        </w:rPr>
        <w:t>The derived Tafel slopes and corrosion potentials reflect the specific electrochemical environment associated with each soil type. These values were used in the model to define the anodic and cathodic kinetics at the metal–soil interface. A summary of the fitted Tafel parameters is presented in Table 2.</w:t>
      </w:r>
    </w:p>
    <w:p w14:paraId="0EF5C6F8" w14:textId="5F679355" w:rsidR="000412B5" w:rsidRPr="00AB475B" w:rsidRDefault="00BB71D8" w:rsidP="00AB475B">
      <w:pPr>
        <w:autoSpaceDE w:val="0"/>
        <w:autoSpaceDN w:val="0"/>
        <w:adjustRightInd w:val="0"/>
        <w:spacing w:before="120"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Table 2 </w:t>
      </w:r>
      <w:r w:rsidR="000412B5" w:rsidRPr="00AB475B">
        <w:rPr>
          <w:rFonts w:ascii="Times New Roman" w:hAnsi="Times New Roman" w:cs="Times New Roman"/>
          <w:color w:val="000000"/>
          <w:sz w:val="24"/>
          <w:szCs w:val="24"/>
        </w:rPr>
        <w:t>Electrochemical parameters derived from polarization tests for sand, silt, and clay</w:t>
      </w:r>
    </w:p>
    <w:tbl>
      <w:tblPr>
        <w:tblStyle w:val="TableGrid0"/>
        <w:tblW w:w="0" w:type="auto"/>
        <w:tblLook w:val="04A0" w:firstRow="1" w:lastRow="0" w:firstColumn="1" w:lastColumn="0" w:noHBand="0" w:noVBand="1"/>
      </w:tblPr>
      <w:tblGrid>
        <w:gridCol w:w="2254"/>
        <w:gridCol w:w="2254"/>
        <w:gridCol w:w="2254"/>
        <w:gridCol w:w="2254"/>
      </w:tblGrid>
      <w:tr w:rsidR="000412B5" w:rsidRPr="00AB475B" w14:paraId="566E6446" w14:textId="77777777" w:rsidTr="00CC0F74">
        <w:tc>
          <w:tcPr>
            <w:tcW w:w="2254" w:type="dxa"/>
            <w:vAlign w:val="center"/>
          </w:tcPr>
          <w:p w14:paraId="05DEDB15"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p>
        </w:tc>
        <w:tc>
          <w:tcPr>
            <w:tcW w:w="2254" w:type="dxa"/>
            <w:vAlign w:val="center"/>
          </w:tcPr>
          <w:p w14:paraId="518776F1"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Sand</w:t>
            </w:r>
          </w:p>
        </w:tc>
        <w:tc>
          <w:tcPr>
            <w:tcW w:w="2254" w:type="dxa"/>
            <w:vAlign w:val="center"/>
          </w:tcPr>
          <w:p w14:paraId="54EACBDF"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Silt</w:t>
            </w:r>
          </w:p>
        </w:tc>
        <w:tc>
          <w:tcPr>
            <w:tcW w:w="2254" w:type="dxa"/>
            <w:vAlign w:val="center"/>
          </w:tcPr>
          <w:p w14:paraId="4E9C1F6C"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Clay</w:t>
            </w:r>
          </w:p>
        </w:tc>
      </w:tr>
      <w:tr w:rsidR="000412B5" w:rsidRPr="00AB475B" w14:paraId="4246C186" w14:textId="77777777" w:rsidTr="00CC0F74">
        <w:tc>
          <w:tcPr>
            <w:tcW w:w="2254" w:type="dxa"/>
            <w:vAlign w:val="center"/>
          </w:tcPr>
          <w:p w14:paraId="6409BCCD" w14:textId="77777777" w:rsidR="000412B5" w:rsidRPr="00AB475B" w:rsidRDefault="000412B5" w:rsidP="00AB475B">
            <w:pPr>
              <w:pStyle w:val="Default"/>
              <w:jc w:val="center"/>
            </w:pPr>
            <w:r w:rsidRPr="00AB475B">
              <w:t>Tafel slope iron oxidation (V)</w:t>
            </w:r>
          </w:p>
        </w:tc>
        <w:tc>
          <w:tcPr>
            <w:tcW w:w="2254" w:type="dxa"/>
            <w:vAlign w:val="center"/>
          </w:tcPr>
          <w:p w14:paraId="649CE979"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0.132</w:t>
            </w:r>
          </w:p>
        </w:tc>
        <w:tc>
          <w:tcPr>
            <w:tcW w:w="2254" w:type="dxa"/>
            <w:vAlign w:val="center"/>
          </w:tcPr>
          <w:p w14:paraId="72B5C176"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0.045</w:t>
            </w:r>
          </w:p>
        </w:tc>
        <w:tc>
          <w:tcPr>
            <w:tcW w:w="2254" w:type="dxa"/>
            <w:vAlign w:val="center"/>
          </w:tcPr>
          <w:p w14:paraId="41CBCB65"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0.071</w:t>
            </w:r>
          </w:p>
        </w:tc>
      </w:tr>
      <w:tr w:rsidR="000412B5" w:rsidRPr="00AB475B" w14:paraId="48F45A6D" w14:textId="77777777" w:rsidTr="00CC0F74">
        <w:tc>
          <w:tcPr>
            <w:tcW w:w="2254" w:type="dxa"/>
            <w:vAlign w:val="center"/>
          </w:tcPr>
          <w:p w14:paraId="2F7B17BC" w14:textId="77777777" w:rsidR="000412B5" w:rsidRPr="00AB475B" w:rsidRDefault="000412B5" w:rsidP="00AB475B">
            <w:pPr>
              <w:pStyle w:val="Default"/>
              <w:jc w:val="center"/>
            </w:pPr>
            <w:r w:rsidRPr="00AB475B">
              <w:t>Tafel slope oxygen reduction (V)</w:t>
            </w:r>
          </w:p>
        </w:tc>
        <w:tc>
          <w:tcPr>
            <w:tcW w:w="2254" w:type="dxa"/>
            <w:vAlign w:val="center"/>
          </w:tcPr>
          <w:p w14:paraId="204A49E9"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-0.121</w:t>
            </w:r>
          </w:p>
        </w:tc>
        <w:tc>
          <w:tcPr>
            <w:tcW w:w="2254" w:type="dxa"/>
            <w:vAlign w:val="center"/>
          </w:tcPr>
          <w:p w14:paraId="5D02357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-0.118</w:t>
            </w:r>
          </w:p>
        </w:tc>
        <w:tc>
          <w:tcPr>
            <w:tcW w:w="2254" w:type="dxa"/>
            <w:vAlign w:val="center"/>
          </w:tcPr>
          <w:p w14:paraId="38CA6E40"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-0.115</w:t>
            </w:r>
          </w:p>
        </w:tc>
      </w:tr>
      <w:tr w:rsidR="000412B5" w:rsidRPr="00AB475B" w14:paraId="01B3EF64" w14:textId="77777777" w:rsidTr="00CC0F74">
        <w:tc>
          <w:tcPr>
            <w:tcW w:w="2254" w:type="dxa"/>
            <w:vAlign w:val="center"/>
          </w:tcPr>
          <w:p w14:paraId="613DE4E2" w14:textId="77777777" w:rsidR="000412B5" w:rsidRPr="00AB475B" w:rsidRDefault="000412B5" w:rsidP="00AB475B">
            <w:pPr>
              <w:pStyle w:val="Default"/>
              <w:jc w:val="center"/>
            </w:pPr>
            <w:r w:rsidRPr="00AB475B">
              <w:t>Iron oxidation equilibrium potential</w:t>
            </w:r>
          </w:p>
          <w:p w14:paraId="1E82916A"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(V)</w:t>
            </w:r>
          </w:p>
        </w:tc>
        <w:tc>
          <w:tcPr>
            <w:tcW w:w="2254" w:type="dxa"/>
            <w:vAlign w:val="center"/>
          </w:tcPr>
          <w:p w14:paraId="121144C9"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-0.75</w:t>
            </w:r>
          </w:p>
        </w:tc>
        <w:tc>
          <w:tcPr>
            <w:tcW w:w="2254" w:type="dxa"/>
            <w:vAlign w:val="center"/>
          </w:tcPr>
          <w:p w14:paraId="3B888C1E"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-0.76</w:t>
            </w:r>
          </w:p>
        </w:tc>
        <w:tc>
          <w:tcPr>
            <w:tcW w:w="2254" w:type="dxa"/>
            <w:vAlign w:val="center"/>
          </w:tcPr>
          <w:p w14:paraId="00741E1D"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-0.76</w:t>
            </w:r>
          </w:p>
        </w:tc>
      </w:tr>
      <w:tr w:rsidR="000412B5" w:rsidRPr="00AB475B" w14:paraId="20A04255" w14:textId="77777777" w:rsidTr="00CC0F74">
        <w:tc>
          <w:tcPr>
            <w:tcW w:w="2254" w:type="dxa"/>
            <w:vAlign w:val="center"/>
          </w:tcPr>
          <w:p w14:paraId="1166598F" w14:textId="3F8C3270" w:rsidR="000412B5" w:rsidRPr="00AB475B" w:rsidRDefault="000412B5" w:rsidP="00520579">
            <w:pPr>
              <w:pStyle w:val="Default"/>
              <w:jc w:val="center"/>
            </w:pPr>
            <w:r w:rsidRPr="00AB475B">
              <w:t>Oxygen reduction equilibrium potential (V)</w:t>
            </w:r>
          </w:p>
        </w:tc>
        <w:tc>
          <w:tcPr>
            <w:tcW w:w="2254" w:type="dxa"/>
            <w:vAlign w:val="center"/>
          </w:tcPr>
          <w:p w14:paraId="1E867BD2"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0.188</w:t>
            </w:r>
          </w:p>
        </w:tc>
        <w:tc>
          <w:tcPr>
            <w:tcW w:w="2254" w:type="dxa"/>
            <w:vAlign w:val="center"/>
          </w:tcPr>
          <w:p w14:paraId="2848FBF6"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0.195</w:t>
            </w:r>
          </w:p>
        </w:tc>
        <w:tc>
          <w:tcPr>
            <w:tcW w:w="2254" w:type="dxa"/>
            <w:vAlign w:val="center"/>
          </w:tcPr>
          <w:p w14:paraId="12F6C996"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0.179</w:t>
            </w:r>
          </w:p>
        </w:tc>
      </w:tr>
      <w:tr w:rsidR="000412B5" w:rsidRPr="00AB475B" w14:paraId="2F576221" w14:textId="77777777" w:rsidTr="00CC0F74">
        <w:tc>
          <w:tcPr>
            <w:tcW w:w="2254" w:type="dxa"/>
            <w:vAlign w:val="center"/>
          </w:tcPr>
          <w:p w14:paraId="66A8752D" w14:textId="0BBE2253" w:rsidR="000412B5" w:rsidRPr="00AB475B" w:rsidRDefault="000412B5" w:rsidP="00520579">
            <w:pPr>
              <w:pStyle w:val="Default"/>
              <w:jc w:val="center"/>
            </w:pPr>
            <w:r w:rsidRPr="00AB475B">
              <w:t>Iron oxidation exchange current density (A/m</w:t>
            </w:r>
            <w:r w:rsidRPr="00AB475B">
              <w:rPr>
                <w:vertAlign w:val="superscript"/>
              </w:rPr>
              <w:t>2</w:t>
            </w:r>
            <w:r w:rsidRPr="00AB475B">
              <w:t>)</w:t>
            </w:r>
          </w:p>
        </w:tc>
        <w:tc>
          <w:tcPr>
            <w:tcW w:w="2254" w:type="dxa"/>
            <w:vAlign w:val="center"/>
          </w:tcPr>
          <w:p w14:paraId="67A43402"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7.12×10</w:t>
            </w:r>
            <w:r w:rsidRPr="00AB475B">
              <w:rPr>
                <w:rFonts w:ascii="Times New Roman" w:hAnsi="Times New Roman" w:cs="Times New Roman"/>
                <w:color w:val="000000"/>
                <w:sz w:val="24"/>
                <w:szCs w:val="24"/>
                <w:vertAlign w:val="superscript"/>
              </w:rPr>
              <w:t>-5</w:t>
            </w:r>
          </w:p>
        </w:tc>
        <w:tc>
          <w:tcPr>
            <w:tcW w:w="2254" w:type="dxa"/>
            <w:vAlign w:val="center"/>
          </w:tcPr>
          <w:p w14:paraId="216C29D0"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7.06×10</w:t>
            </w:r>
            <w:r w:rsidRPr="00AB475B">
              <w:rPr>
                <w:rFonts w:ascii="Times New Roman" w:hAnsi="Times New Roman" w:cs="Times New Roman"/>
                <w:color w:val="000000"/>
                <w:sz w:val="24"/>
                <w:szCs w:val="24"/>
                <w:vertAlign w:val="superscript"/>
              </w:rPr>
              <w:t>-5</w:t>
            </w:r>
          </w:p>
        </w:tc>
        <w:tc>
          <w:tcPr>
            <w:tcW w:w="2254" w:type="dxa"/>
            <w:vAlign w:val="center"/>
          </w:tcPr>
          <w:p w14:paraId="4D8CD86B"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7.21×10</w:t>
            </w:r>
            <w:r w:rsidRPr="00AB475B">
              <w:rPr>
                <w:rFonts w:ascii="Times New Roman" w:hAnsi="Times New Roman" w:cs="Times New Roman"/>
                <w:color w:val="000000"/>
                <w:sz w:val="24"/>
                <w:szCs w:val="24"/>
                <w:vertAlign w:val="superscript"/>
              </w:rPr>
              <w:t>-5</w:t>
            </w:r>
          </w:p>
        </w:tc>
      </w:tr>
      <w:tr w:rsidR="000412B5" w:rsidRPr="00AB475B" w14:paraId="06A31350" w14:textId="77777777" w:rsidTr="00CC0F74">
        <w:tc>
          <w:tcPr>
            <w:tcW w:w="2254" w:type="dxa"/>
            <w:vAlign w:val="center"/>
          </w:tcPr>
          <w:p w14:paraId="606816F2" w14:textId="2919A20E" w:rsidR="000412B5" w:rsidRPr="00AB475B" w:rsidRDefault="000412B5" w:rsidP="00520579">
            <w:pPr>
              <w:pStyle w:val="Default"/>
              <w:jc w:val="center"/>
            </w:pPr>
            <w:r w:rsidRPr="00AB475B">
              <w:t>Oxygen reduction exchange current density (A/m</w:t>
            </w:r>
            <w:r w:rsidRPr="00AB475B">
              <w:rPr>
                <w:vertAlign w:val="superscript"/>
              </w:rPr>
              <w:t>2</w:t>
            </w:r>
            <w:r w:rsidRPr="00AB475B">
              <w:t>)</w:t>
            </w:r>
          </w:p>
        </w:tc>
        <w:tc>
          <w:tcPr>
            <w:tcW w:w="2254" w:type="dxa"/>
            <w:vAlign w:val="center"/>
          </w:tcPr>
          <w:p w14:paraId="1445353B"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7.83×10</w:t>
            </w:r>
            <w:r w:rsidRPr="00AB475B">
              <w:rPr>
                <w:rFonts w:ascii="Times New Roman" w:hAnsi="Times New Roman" w:cs="Times New Roman"/>
                <w:color w:val="000000"/>
                <w:sz w:val="24"/>
                <w:szCs w:val="24"/>
                <w:vertAlign w:val="superscript"/>
              </w:rPr>
              <w:t>-7</w:t>
            </w:r>
          </w:p>
        </w:tc>
        <w:tc>
          <w:tcPr>
            <w:tcW w:w="2254" w:type="dxa"/>
            <w:vAlign w:val="center"/>
          </w:tcPr>
          <w:p w14:paraId="3E17E0D1"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7.71×10</w:t>
            </w:r>
            <w:r w:rsidRPr="00AB475B">
              <w:rPr>
                <w:rFonts w:ascii="Times New Roman" w:hAnsi="Times New Roman" w:cs="Times New Roman"/>
                <w:color w:val="000000"/>
                <w:sz w:val="24"/>
                <w:szCs w:val="24"/>
                <w:vertAlign w:val="superscript"/>
              </w:rPr>
              <w:t>-7</w:t>
            </w:r>
          </w:p>
        </w:tc>
        <w:tc>
          <w:tcPr>
            <w:tcW w:w="2254" w:type="dxa"/>
            <w:vAlign w:val="center"/>
          </w:tcPr>
          <w:p w14:paraId="3518773C" w14:textId="77777777" w:rsidR="000412B5" w:rsidRPr="00AB475B" w:rsidRDefault="000412B5" w:rsidP="00AB475B">
            <w:pPr>
              <w:autoSpaceDE w:val="0"/>
              <w:autoSpaceDN w:val="0"/>
              <w:adjustRightInd w:val="0"/>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7.76×10</w:t>
            </w:r>
            <w:r w:rsidRPr="00AB475B">
              <w:rPr>
                <w:rFonts w:ascii="Times New Roman" w:hAnsi="Times New Roman" w:cs="Times New Roman"/>
                <w:color w:val="000000"/>
                <w:sz w:val="24"/>
                <w:szCs w:val="24"/>
                <w:vertAlign w:val="superscript"/>
              </w:rPr>
              <w:t>-7</w:t>
            </w:r>
          </w:p>
        </w:tc>
      </w:tr>
    </w:tbl>
    <w:p w14:paraId="3928A7B9" w14:textId="77777777"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p>
    <w:p w14:paraId="57F234DD" w14:textId="77777777" w:rsidR="00BB71D8"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As previously discussed, electrical conductivity was not a controlling variable in this special setup, given the small cell size and uniform corrosion pattern. Therefore, among the factors discussed so far, oxygen diffusion </w:t>
      </w:r>
      <w:r w:rsidR="00BB71D8" w:rsidRPr="00AB475B">
        <w:rPr>
          <w:rFonts w:ascii="Times New Roman" w:hAnsi="Times New Roman" w:cs="Times New Roman"/>
          <w:color w:val="000000"/>
          <w:sz w:val="24"/>
          <w:szCs w:val="24"/>
        </w:rPr>
        <w:t xml:space="preserve">is the only one that has both </w:t>
      </w:r>
      <w:r w:rsidRPr="00AB475B">
        <w:rPr>
          <w:rFonts w:ascii="Times New Roman" w:hAnsi="Times New Roman" w:cs="Times New Roman"/>
          <w:color w:val="000000"/>
          <w:sz w:val="24"/>
          <w:szCs w:val="24"/>
        </w:rPr>
        <w:t xml:space="preserve">moisture-dependent variation and influence on corrosion behavior. However, its effect is strictly monotonic with respect to saturation and therefore cannot explain the experimentally observed non-linear trend. However, experimental results demonstrated the existence of an optimum saturation degree where corrosion was maximized. This suggests the presence of another mechanism modulated by moisture. Experimental results, nonetheless, demonstrated the existence of an optimum saturation degree where corrosion was maximized. This observation implies that one or more additional mechanisms, modulated by moisture, may be contributing to the non-linear behavior. </w:t>
      </w:r>
    </w:p>
    <w:p w14:paraId="7BF3C29B" w14:textId="2A15C403"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Prior studies have proposed that the active anodic area may also be governed by the degree of saturation (Melchers, 2003; Sogo et al., 2018).</w:t>
      </w:r>
      <w:r w:rsidR="00BB71D8" w:rsidRPr="00AB475B">
        <w:rPr>
          <w:rFonts w:ascii="Times New Roman" w:hAnsi="Times New Roman" w:cs="Times New Roman"/>
          <w:color w:val="000000"/>
          <w:sz w:val="24"/>
          <w:szCs w:val="24"/>
        </w:rPr>
        <w:t xml:space="preserve"> </w:t>
      </w:r>
      <w:r w:rsidRPr="00AB475B">
        <w:rPr>
          <w:rFonts w:ascii="Times New Roman" w:hAnsi="Times New Roman" w:cs="Times New Roman"/>
          <w:color w:val="000000"/>
          <w:sz w:val="24"/>
          <w:szCs w:val="24"/>
        </w:rPr>
        <w:t xml:space="preserve">A relationship proposed in another experimental study was adopted in this model (Azoor et al., 2018). Specifically, this study </w:t>
      </w:r>
      <w:r w:rsidR="00BB71D8" w:rsidRPr="00AB475B">
        <w:rPr>
          <w:rFonts w:ascii="Times New Roman" w:hAnsi="Times New Roman" w:cs="Times New Roman"/>
          <w:color w:val="000000"/>
          <w:sz w:val="24"/>
          <w:szCs w:val="24"/>
        </w:rPr>
        <w:t>performed</w:t>
      </w:r>
      <w:r w:rsidRPr="00AB475B">
        <w:rPr>
          <w:rFonts w:ascii="Times New Roman" w:hAnsi="Times New Roman" w:cs="Times New Roman"/>
          <w:color w:val="000000"/>
          <w:sz w:val="24"/>
          <w:szCs w:val="24"/>
        </w:rPr>
        <w:t xml:space="preserve"> image analysis of the percentage of corroded electrode surface, which is defined as the active area, under varying saturation conditions have demonstrated a near one-to-one correlation between the active area ratio and the degree of saturation. Therefore, the model introduces the concept of active area as an additional factor, implemented as a multiplicative term </w:t>
      </w:r>
      <w:r w:rsidR="00CC0F74" w:rsidRPr="00AB475B">
        <w:rPr>
          <w:rFonts w:ascii="Times New Roman" w:hAnsi="Times New Roman" w:cs="Times New Roman"/>
          <w:color w:val="000000"/>
          <w:sz w:val="24"/>
          <w:szCs w:val="24"/>
        </w:rPr>
        <w:t>for corrosion current in the anode</w:t>
      </w:r>
      <w:r w:rsidRPr="00AB475B">
        <w:rPr>
          <w:rFonts w:ascii="Times New Roman" w:hAnsi="Times New Roman" w:cs="Times New Roman"/>
          <w:color w:val="000000"/>
          <w:sz w:val="24"/>
          <w:szCs w:val="24"/>
        </w:rPr>
        <w:t xml:space="preserve">. This factor is assumed to vary linearly with </w:t>
      </w:r>
      <w:r w:rsidRPr="00AB475B">
        <w:rPr>
          <w:rFonts w:ascii="Times New Roman" w:hAnsi="Times New Roman" w:cs="Times New Roman"/>
          <w:i/>
          <w:iCs/>
          <w:color w:val="000000"/>
          <w:sz w:val="24"/>
          <w:szCs w:val="24"/>
        </w:rPr>
        <w:t>Sr</w:t>
      </w:r>
      <w:r w:rsidRPr="00AB475B">
        <w:rPr>
          <w:rFonts w:ascii="Times New Roman" w:hAnsi="Times New Roman" w:cs="Times New Roman"/>
          <w:color w:val="000000"/>
          <w:sz w:val="24"/>
          <w:szCs w:val="24"/>
        </w:rPr>
        <w:t>, providing the second moisture-dependent mechanism that counterbalances the monotonic influence of oxygen diffusion.</w:t>
      </w:r>
    </w:p>
    <w:p w14:paraId="2AEA3F6B" w14:textId="77777777" w:rsidR="00D058D0" w:rsidRPr="00AB475B" w:rsidRDefault="00D058D0" w:rsidP="00AB475B">
      <w:pPr>
        <w:pStyle w:val="Default"/>
        <w:rPr>
          <w:b/>
          <w:bCs/>
          <w:color w:val="000000" w:themeColor="text1"/>
        </w:rPr>
      </w:pPr>
      <w:bookmarkStart w:id="0" w:name="_GoBack"/>
      <w:bookmarkEnd w:id="0"/>
    </w:p>
    <w:p w14:paraId="2478BBEA" w14:textId="43412C8B" w:rsidR="00D058D0" w:rsidRPr="00AB475B" w:rsidRDefault="00D058D0" w:rsidP="00AB475B">
      <w:pPr>
        <w:pStyle w:val="Default"/>
        <w:rPr>
          <w:b/>
          <w:bCs/>
          <w:color w:val="000000" w:themeColor="text1"/>
        </w:rPr>
      </w:pPr>
      <w:r w:rsidRPr="00AB475B">
        <w:rPr>
          <w:b/>
          <w:bCs/>
          <w:color w:val="000000" w:themeColor="text1"/>
        </w:rPr>
        <w:t>Experiment vs. Model Results</w:t>
      </w:r>
    </w:p>
    <w:p w14:paraId="5D664410" w14:textId="7E65C21B" w:rsidR="000412B5" w:rsidRPr="00AB475B" w:rsidRDefault="00D058D0"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The</w:t>
      </w:r>
      <w:r w:rsidR="000412B5" w:rsidRPr="00AB475B">
        <w:rPr>
          <w:rFonts w:ascii="Times New Roman" w:hAnsi="Times New Roman" w:cs="Times New Roman"/>
          <w:color w:val="000000"/>
          <w:sz w:val="24"/>
          <w:szCs w:val="24"/>
        </w:rPr>
        <w:t xml:space="preserve"> simulation results of corrosion current density are presented and compared with the experimental data reported by Azoor et al. (2019). Using the experimentally derived input parameters described previously, including soil-specific oxygen diffusion coefficients, Tafel parameters, and the saturation-dependent active area ratio, the model predicts the steady-state corrosion current density (</w:t>
      </w:r>
      <w:r w:rsidR="000412B5" w:rsidRPr="00AB475B">
        <w:rPr>
          <w:rFonts w:ascii="Times New Roman" w:hAnsi="Times New Roman" w:cs="Times New Roman"/>
          <w:i/>
          <w:iCs/>
          <w:color w:val="000000"/>
          <w:sz w:val="24"/>
          <w:szCs w:val="24"/>
        </w:rPr>
        <w:t>i</w:t>
      </w:r>
      <w:r w:rsidR="000412B5" w:rsidRPr="00AB475B">
        <w:rPr>
          <w:rFonts w:ascii="Times New Roman" w:hAnsi="Times New Roman" w:cs="Times New Roman"/>
          <w:i/>
          <w:iCs/>
          <w:color w:val="000000"/>
          <w:sz w:val="24"/>
          <w:szCs w:val="24"/>
          <w:vertAlign w:val="subscript"/>
        </w:rPr>
        <w:t>Fe</w:t>
      </w:r>
      <w:r w:rsidR="000412B5" w:rsidRPr="00AB475B">
        <w:rPr>
          <w:rFonts w:ascii="Times New Roman" w:hAnsi="Times New Roman" w:cs="Times New Roman"/>
          <w:color w:val="000000"/>
          <w:sz w:val="24"/>
          <w:szCs w:val="24"/>
        </w:rPr>
        <w:t>) for a range of saturation conditions. These outputs are used to evaluate the model’s ability to replicate the observed peak corrosion behavior across different soil types.</w:t>
      </w:r>
    </w:p>
    <w:p w14:paraId="481E1616" w14:textId="191AABC7"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 xml:space="preserve">Figures 6, 7 and 8 display both the simulated and experimental corrosion current density results as functions of degree of saturation for the three soil types. Across all soil types, the corrosion rate exhibits a clear non-monotonic trend: it initially increases with saturation, reaches a maximum at an intermediate </w:t>
      </w:r>
      <w:r w:rsidRPr="00AB475B">
        <w:rPr>
          <w:rFonts w:ascii="Times New Roman" w:hAnsi="Times New Roman" w:cs="Times New Roman"/>
          <w:i/>
          <w:iCs/>
          <w:color w:val="000000"/>
          <w:sz w:val="24"/>
          <w:szCs w:val="24"/>
        </w:rPr>
        <w:t>Sr</w:t>
      </w:r>
      <w:r w:rsidRPr="00AB475B">
        <w:rPr>
          <w:rFonts w:ascii="Times New Roman" w:hAnsi="Times New Roman" w:cs="Times New Roman"/>
          <w:color w:val="000000"/>
          <w:sz w:val="24"/>
          <w:szCs w:val="24"/>
        </w:rPr>
        <w:t>, and then decreases as saturation continues to rise. This trend reflects the balance between enhanced electrolyte contac</w:t>
      </w:r>
      <w:r w:rsidR="00A92A11" w:rsidRPr="00AB475B">
        <w:rPr>
          <w:rFonts w:ascii="Times New Roman" w:hAnsi="Times New Roman" w:cs="Times New Roman"/>
          <w:color w:val="000000"/>
          <w:sz w:val="24"/>
          <w:szCs w:val="24"/>
        </w:rPr>
        <w:t xml:space="preserve">t and limited oxygen diffusion. </w:t>
      </w:r>
      <w:r w:rsidRPr="00AB475B">
        <w:rPr>
          <w:rFonts w:ascii="Times New Roman" w:hAnsi="Times New Roman" w:cs="Times New Roman"/>
          <w:color w:val="000000"/>
          <w:sz w:val="24"/>
          <w:szCs w:val="24"/>
        </w:rPr>
        <w:t>Additionally, the comparison reveals that silt exhibits the highest corrosion rate among the three soils, followed by clay and then sand. The corrosion current in silt also shows a more pronounced variation across the range of saturation, suggesting greater sensitivity to moisture conditions in this soil type.</w:t>
      </w:r>
    </w:p>
    <w:p w14:paraId="4542191E" w14:textId="77777777"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For silt and clay, the model closely reproduces the experimental trends, accurately capturing both the location of the corrosion peak and the overall shape of the response curve. In silt, the optimum degree of saturation is found at approximately 0.7, while in clay it occurs near 0.8. Both values align well with the experimental observations and reflect the moisture levels at which the competing effects of oxygen availability and electrolyte connectivity reach a critical balance. Although there are slight differences in the absolute values of corrosion current density between the simulations and measurements, these discrepancies remain within an acceptable range. A likely explanation of this deviation is the process of extracting Tafel parameters from the polarization curves, which inherently introduces some uncertainty due to the idealized fitting and assumptions involved in that analysis. These outcomes indicate that oxygen diffusion and saturation-dependent active area are the primary factors controlling corrosion behavior in fine-grained soils.</w:t>
      </w:r>
    </w:p>
    <w:p w14:paraId="13CA668C" w14:textId="35D73397" w:rsidR="000412B5" w:rsidRPr="00AB475B" w:rsidRDefault="000412B5" w:rsidP="00AB475B">
      <w:pPr>
        <w:autoSpaceDE w:val="0"/>
        <w:autoSpaceDN w:val="0"/>
        <w:adjustRightInd w:val="0"/>
        <w:spacing w:line="240" w:lineRule="auto"/>
        <w:rPr>
          <w:rFonts w:ascii="Times New Roman" w:hAnsi="Times New Roman" w:cs="Times New Roman"/>
          <w:color w:val="000000"/>
          <w:sz w:val="24"/>
          <w:szCs w:val="24"/>
        </w:rPr>
      </w:pPr>
      <w:r w:rsidRPr="00AB475B">
        <w:rPr>
          <w:rFonts w:ascii="Times New Roman" w:hAnsi="Times New Roman" w:cs="Times New Roman"/>
          <w:color w:val="000000"/>
          <w:sz w:val="24"/>
          <w:szCs w:val="24"/>
        </w:rPr>
        <w:t>For sand, the model shows more notable deviation</w:t>
      </w:r>
      <w:r w:rsidR="00A92A11" w:rsidRPr="00AB475B">
        <w:rPr>
          <w:rFonts w:ascii="Times New Roman" w:hAnsi="Times New Roman" w:cs="Times New Roman"/>
          <w:color w:val="000000"/>
          <w:sz w:val="24"/>
          <w:szCs w:val="24"/>
        </w:rPr>
        <w:t xml:space="preserve"> in corrosion current density values that are much smaller than those observed in silt and clay</w:t>
      </w:r>
      <w:r w:rsidRPr="00AB475B">
        <w:rPr>
          <w:rFonts w:ascii="Times New Roman" w:hAnsi="Times New Roman" w:cs="Times New Roman"/>
          <w:color w:val="000000"/>
          <w:sz w:val="24"/>
          <w:szCs w:val="24"/>
        </w:rPr>
        <w:t xml:space="preserve">. Although the non-monotonic trend is preserved, and the magnitude of the corrosion current density remains close to measured values, the predicted peak occurs at a higher </w:t>
      </w:r>
      <w:r w:rsidRPr="00AB475B">
        <w:rPr>
          <w:rFonts w:ascii="Times New Roman" w:hAnsi="Times New Roman" w:cs="Times New Roman"/>
          <w:i/>
          <w:iCs/>
          <w:color w:val="000000"/>
          <w:sz w:val="24"/>
          <w:szCs w:val="24"/>
        </w:rPr>
        <w:t>Sr</w:t>
      </w:r>
      <w:r w:rsidRPr="00AB475B">
        <w:rPr>
          <w:rFonts w:ascii="Times New Roman" w:hAnsi="Times New Roman" w:cs="Times New Roman"/>
          <w:color w:val="000000"/>
          <w:sz w:val="24"/>
          <w:szCs w:val="24"/>
        </w:rPr>
        <w:t xml:space="preserve"> than observed. This discrepancy may be related to the fact that</w:t>
      </w:r>
      <w:r w:rsidRPr="00AB475B">
        <w:rPr>
          <w:rFonts w:ascii="Times New Roman" w:hAnsi="Times New Roman" w:cs="Times New Roman"/>
          <w:sz w:val="24"/>
          <w:szCs w:val="24"/>
        </w:rPr>
        <w:t xml:space="preserve">, </w:t>
      </w:r>
      <w:r w:rsidRPr="00AB475B">
        <w:rPr>
          <w:rFonts w:ascii="Times New Roman" w:hAnsi="Times New Roman" w:cs="Times New Roman"/>
          <w:color w:val="000000"/>
          <w:sz w:val="24"/>
          <w:szCs w:val="24"/>
        </w:rPr>
        <w:t>due to gravitational effects in the experimental setup, the assumption of a perfectly uniform saturation distribution is not entirely valid, especially at higher saturation levels. In higher saturation cases, water tends to accumulate toward the bottom of the soil column, which corresponds to the region near the working electrode. This creates a local increase in saturation compared to the overall average. Such an effect is more pronounced in sand due to its coarser texture and more rapid drainage behavior. This likely contributes to the shift observed in the predicted optimum saturation point.</w:t>
      </w:r>
    </w:p>
    <w:p w14:paraId="096489C5"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noProof/>
          <w:sz w:val="24"/>
          <w:szCs w:val="24"/>
        </w:rPr>
        <w:drawing>
          <wp:inline distT="0" distB="0" distL="0" distR="0" wp14:anchorId="1E852429" wp14:editId="595DF4FF">
            <wp:extent cx="4944533" cy="2463800"/>
            <wp:effectExtent l="0" t="0" r="8890" b="0"/>
            <wp:docPr id="1879535008" name="Chart 1">
              <a:extLst xmlns:a="http://schemas.openxmlformats.org/drawingml/2006/main">
                <a:ext uri="{FF2B5EF4-FFF2-40B4-BE49-F238E27FC236}">
                  <a16:creationId xmlns:a16="http://schemas.microsoft.com/office/drawing/2014/main" id="{803CBFF7-1FC6-38D3-B6AD-FD9EB8475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5F4D3"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Figure 6. Comparison between simulated and experimental corrosion current densities for sand under varying degrees of saturation.</w:t>
      </w:r>
    </w:p>
    <w:p w14:paraId="0C8E2D94"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p>
    <w:p w14:paraId="45774209"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noProof/>
          <w:sz w:val="24"/>
          <w:szCs w:val="24"/>
        </w:rPr>
        <w:drawing>
          <wp:inline distT="0" distB="0" distL="0" distR="0" wp14:anchorId="5E87C2FF" wp14:editId="6FBBFCA0">
            <wp:extent cx="4428067" cy="2328333"/>
            <wp:effectExtent l="0" t="0" r="0" b="0"/>
            <wp:docPr id="881961863" name="Chart 1">
              <a:extLst xmlns:a="http://schemas.openxmlformats.org/drawingml/2006/main">
                <a:ext uri="{FF2B5EF4-FFF2-40B4-BE49-F238E27FC236}">
                  <a16:creationId xmlns:a16="http://schemas.microsoft.com/office/drawing/2014/main" id="{5434EDAE-0499-4811-9AC8-DE0A85243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2D20C0"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Figure 7. Comparison between simulated and experimental corrosion current densities for silt under varying degrees of saturation.</w:t>
      </w:r>
    </w:p>
    <w:p w14:paraId="5D4E122E"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p>
    <w:p w14:paraId="171C63E7"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noProof/>
          <w:sz w:val="24"/>
          <w:szCs w:val="24"/>
        </w:rPr>
        <w:drawing>
          <wp:inline distT="0" distB="0" distL="0" distR="0" wp14:anchorId="4466DEC4" wp14:editId="173F398B">
            <wp:extent cx="4444577" cy="2133600"/>
            <wp:effectExtent l="0" t="0" r="0" b="0"/>
            <wp:docPr id="2068241966" name="Chart 1">
              <a:extLst xmlns:a="http://schemas.openxmlformats.org/drawingml/2006/main">
                <a:ext uri="{FF2B5EF4-FFF2-40B4-BE49-F238E27FC236}">
                  <a16:creationId xmlns:a16="http://schemas.microsoft.com/office/drawing/2014/main" id="{717FF539-6A72-4B9B-8058-C70F92122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314BB1" w14:textId="77777777" w:rsidR="000412B5" w:rsidRPr="00AB475B" w:rsidRDefault="000412B5" w:rsidP="00AB475B">
      <w:pPr>
        <w:autoSpaceDE w:val="0"/>
        <w:autoSpaceDN w:val="0"/>
        <w:adjustRightInd w:val="0"/>
        <w:spacing w:line="240" w:lineRule="auto"/>
        <w:jc w:val="center"/>
        <w:rPr>
          <w:rFonts w:ascii="Times New Roman" w:hAnsi="Times New Roman" w:cs="Times New Roman"/>
          <w:color w:val="000000"/>
          <w:sz w:val="24"/>
          <w:szCs w:val="24"/>
        </w:rPr>
      </w:pPr>
      <w:r w:rsidRPr="00AB475B">
        <w:rPr>
          <w:rFonts w:ascii="Times New Roman" w:hAnsi="Times New Roman" w:cs="Times New Roman"/>
          <w:color w:val="000000"/>
          <w:sz w:val="24"/>
          <w:szCs w:val="24"/>
        </w:rPr>
        <w:t>Figure 8. Comparison between simulated and experimental corrosion current densities for clay under varying degrees of saturation.</w:t>
      </w:r>
    </w:p>
    <w:p w14:paraId="34B54939" w14:textId="22204477" w:rsidR="009A6912" w:rsidRPr="00AB475B" w:rsidRDefault="009A6912" w:rsidP="00AB475B">
      <w:pPr>
        <w:pStyle w:val="BodyText"/>
        <w:jc w:val="both"/>
      </w:pPr>
    </w:p>
    <w:p w14:paraId="4AEF5775" w14:textId="77777777" w:rsidR="000412B5" w:rsidRPr="00AB475B" w:rsidRDefault="000412B5" w:rsidP="00AB475B">
      <w:pPr>
        <w:pStyle w:val="BodyText"/>
        <w:jc w:val="both"/>
      </w:pPr>
    </w:p>
    <w:p w14:paraId="00A549AB" w14:textId="36DC18EF" w:rsidR="009A6912" w:rsidRPr="00AB475B" w:rsidRDefault="009A6912" w:rsidP="00AB475B">
      <w:pPr>
        <w:pStyle w:val="BodyText"/>
        <w:jc w:val="both"/>
        <w:rPr>
          <w:u w:val="single"/>
        </w:rPr>
      </w:pPr>
      <w:r w:rsidRPr="00AB475B">
        <w:rPr>
          <w:u w:val="single"/>
        </w:rPr>
        <w:t>Task 4 Remote Inspection of Soil Properties and Pipe Corrosion</w:t>
      </w:r>
    </w:p>
    <w:p w14:paraId="3E8798F4" w14:textId="5D02C3D2" w:rsidR="00A3682E" w:rsidRPr="00AB475B" w:rsidRDefault="00A3682E" w:rsidP="00AB475B">
      <w:pPr>
        <w:spacing w:after="0" w:line="240" w:lineRule="auto"/>
        <w:jc w:val="both"/>
        <w:rPr>
          <w:rFonts w:ascii="Times New Roman" w:hAnsi="Times New Roman" w:cs="Times New Roman"/>
          <w:color w:val="000000" w:themeColor="text1"/>
          <w:sz w:val="24"/>
          <w:szCs w:val="24"/>
        </w:rPr>
      </w:pPr>
    </w:p>
    <w:p w14:paraId="154681D9" w14:textId="2A524041" w:rsidR="00785957" w:rsidRPr="00AB475B" w:rsidRDefault="00AB475B" w:rsidP="00AB475B">
      <w:pPr>
        <w:spacing w:line="240" w:lineRule="auto"/>
        <w:rPr>
          <w:rFonts w:ascii="Times New Roman" w:hAnsi="Times New Roman" w:cs="Times New Roman"/>
          <w:color w:val="000000" w:themeColor="text1"/>
          <w:sz w:val="24"/>
          <w:szCs w:val="24"/>
        </w:rPr>
      </w:pPr>
      <w:r w:rsidRPr="00AB475B">
        <w:rPr>
          <w:rFonts w:ascii="Times New Roman" w:hAnsi="Times New Roman" w:cs="Times New Roman"/>
          <w:color w:val="000000" w:themeColor="text1"/>
          <w:sz w:val="24"/>
          <w:szCs w:val="24"/>
        </w:rPr>
        <w:t xml:space="preserve">A triple-frequency GPR system (supplied by U.S. Radar Inc.) was </w:t>
      </w:r>
      <w:r w:rsidR="006D3E92">
        <w:rPr>
          <w:rFonts w:ascii="Times New Roman" w:hAnsi="Times New Roman" w:cs="Times New Roman"/>
          <w:color w:val="000000" w:themeColor="text1"/>
          <w:sz w:val="24"/>
          <w:szCs w:val="24"/>
        </w:rPr>
        <w:t xml:space="preserve">newly purchased and </w:t>
      </w:r>
      <w:r w:rsidRPr="00AB475B">
        <w:rPr>
          <w:rFonts w:ascii="Times New Roman" w:hAnsi="Times New Roman" w:cs="Times New Roman"/>
          <w:color w:val="000000" w:themeColor="text1"/>
          <w:sz w:val="24"/>
          <w:szCs w:val="24"/>
        </w:rPr>
        <w:t>employed for this study. The antenna provides scans at multiple frequencies and supports wireless transmission to a tablet. The acquired data were post-processed using R</w:t>
      </w:r>
      <w:r w:rsidRPr="00AB475B">
        <w:rPr>
          <w:rFonts w:ascii="Times New Roman" w:hAnsi="Times New Roman" w:cs="Times New Roman"/>
          <w:color w:val="000000" w:themeColor="text1"/>
          <w:sz w:val="24"/>
          <w:szCs w:val="24"/>
        </w:rPr>
        <w:t>adan software by GSSI. Figure 9</w:t>
      </w:r>
      <w:r w:rsidRPr="00AB475B">
        <w:rPr>
          <w:rFonts w:ascii="Times New Roman" w:hAnsi="Times New Roman" w:cs="Times New Roman"/>
          <w:color w:val="000000" w:themeColor="text1"/>
          <w:sz w:val="24"/>
          <w:szCs w:val="24"/>
        </w:rPr>
        <w:t xml:space="preserve"> shows the GPR setup used in this study.</w:t>
      </w:r>
    </w:p>
    <w:p w14:paraId="452F02C1" w14:textId="77777777" w:rsidR="00AB475B" w:rsidRPr="00AB475B" w:rsidRDefault="00AB475B" w:rsidP="00AB475B">
      <w:pPr>
        <w:spacing w:line="240" w:lineRule="auto"/>
        <w:jc w:val="center"/>
        <w:rPr>
          <w:rFonts w:ascii="Times New Roman" w:hAnsi="Times New Roman" w:cs="Times New Roman"/>
          <w:color w:val="000000" w:themeColor="text1"/>
          <w:sz w:val="24"/>
          <w:szCs w:val="24"/>
        </w:rPr>
      </w:pPr>
      <w:r w:rsidRPr="00AB475B">
        <w:rPr>
          <w:rFonts w:ascii="Times New Roman" w:hAnsi="Times New Roman" w:cs="Times New Roman"/>
          <w:noProof/>
          <w:color w:val="000000" w:themeColor="text1"/>
          <w:sz w:val="24"/>
          <w:szCs w:val="24"/>
          <w:lang w:eastAsia="zh-CN"/>
        </w:rPr>
        <w:drawing>
          <wp:inline distT="0" distB="0" distL="0" distR="0" wp14:anchorId="6273E89B" wp14:editId="13AF80A4">
            <wp:extent cx="3473939" cy="2073380"/>
            <wp:effectExtent l="0" t="0" r="0" b="3175"/>
            <wp:docPr id="111620954" name="Picture 1" descr="A blue suitcase next to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954" name="Picture 1" descr="A blue suitcase next to a pip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8139" cy="2081855"/>
                    </a:xfrm>
                    <a:prstGeom prst="rect">
                      <a:avLst/>
                    </a:prstGeom>
                    <a:noFill/>
                  </pic:spPr>
                </pic:pic>
              </a:graphicData>
            </a:graphic>
          </wp:inline>
        </w:drawing>
      </w:r>
    </w:p>
    <w:p w14:paraId="314941F4" w14:textId="5E6A46C6" w:rsidR="00AB475B" w:rsidRPr="00AB475B" w:rsidRDefault="00AB475B" w:rsidP="00AB475B">
      <w:pPr>
        <w:pStyle w:val="Caption"/>
        <w:spacing w:line="240" w:lineRule="auto"/>
        <w:rPr>
          <w:rFonts w:cs="Times New Roman"/>
          <w:i w:val="0"/>
          <w:iCs w:val="0"/>
          <w:szCs w:val="24"/>
        </w:rPr>
      </w:pPr>
      <w:r w:rsidRPr="00AB475B">
        <w:rPr>
          <w:rFonts w:cs="Times New Roman"/>
          <w:i w:val="0"/>
          <w:szCs w:val="24"/>
        </w:rPr>
        <w:t xml:space="preserve">Figure </w:t>
      </w:r>
      <w:r w:rsidRPr="00AB475B">
        <w:rPr>
          <w:rFonts w:cs="Times New Roman"/>
          <w:i w:val="0"/>
          <w:szCs w:val="24"/>
        </w:rPr>
        <w:t>9</w:t>
      </w:r>
      <w:r w:rsidR="00311B75">
        <w:rPr>
          <w:rFonts w:cs="Times New Roman"/>
          <w:i w:val="0"/>
          <w:szCs w:val="24"/>
        </w:rPr>
        <w:t>.</w:t>
      </w:r>
      <w:r w:rsidRPr="00AB475B">
        <w:rPr>
          <w:rFonts w:cs="Times New Roman"/>
          <w:i w:val="0"/>
          <w:szCs w:val="24"/>
        </w:rPr>
        <w:t xml:space="preserve"> GPR setup</w:t>
      </w:r>
      <w:r w:rsidRPr="00AB475B">
        <w:rPr>
          <w:rFonts w:cs="Times New Roman"/>
          <w:i w:val="0"/>
          <w:szCs w:val="24"/>
        </w:rPr>
        <w:t xml:space="preserve"> on soil box</w:t>
      </w:r>
    </w:p>
    <w:p w14:paraId="0FF96A9C" w14:textId="215FA214" w:rsidR="00AB475B" w:rsidRPr="00AB475B" w:rsidRDefault="00AB475B"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Once the box was filled with sand to the desired depth, it was left undisturbed to allow moisture to redistribute naturally. At the beginning of the experimental observations, the moisture content recorded by the top, middle, and bottom sensors was 21%, 12.1%, and 27.1%, respectively. For the pipeline scan, the antenna was traversed across the pipeline, whereas for the plate, the antenna was kept static directly above its location. Due to the small dimensions of the sandbox, all scans were conducted in time-scan mode instead of the more commonly used distance mode, which typically requires a GPR cart.</w:t>
      </w:r>
    </w:p>
    <w:p w14:paraId="3F7DFA2A" w14:textId="2B3491BB" w:rsidR="00AB475B" w:rsidRPr="00AB475B" w:rsidRDefault="00AB475B" w:rsidP="00AB475B">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10 </w:t>
      </w:r>
      <w:r w:rsidRPr="00AB475B">
        <w:rPr>
          <w:rFonts w:ascii="Times New Roman" w:hAnsi="Times New Roman" w:cs="Times New Roman"/>
          <w:sz w:val="24"/>
          <w:szCs w:val="24"/>
        </w:rPr>
        <w:t>shows the scan corresponding to the plate reflection. Three main peaks were identified in the A-scan. Peak A is interpreted as the direct wave between the transmitter and receiver. This is followed by Peak B at approximately 7 ns, which is likely due to the moisture contrast between the top and middle soil layers, with moisture contents of 21% and 12.1%, respectively. A strong reflection observed at around 12 ns corresponds to Peak C, which is attributed to the buried plate.</w:t>
      </w:r>
    </w:p>
    <w:p w14:paraId="1960DD45" w14:textId="7777777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lang w:eastAsia="zh-CN"/>
        </w:rPr>
        <w:drawing>
          <wp:inline distT="0" distB="0" distL="0" distR="0" wp14:anchorId="5E4D17BC" wp14:editId="4E9482A1">
            <wp:extent cx="4253585" cy="2095681"/>
            <wp:effectExtent l="0" t="0" r="0" b="0"/>
            <wp:docPr id="107686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4023" cy="2100823"/>
                    </a:xfrm>
                    <a:prstGeom prst="rect">
                      <a:avLst/>
                    </a:prstGeom>
                    <a:noFill/>
                  </pic:spPr>
                </pic:pic>
              </a:graphicData>
            </a:graphic>
          </wp:inline>
        </w:drawing>
      </w:r>
    </w:p>
    <w:p w14:paraId="3415503F" w14:textId="4E4C35C5"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10</w:t>
      </w:r>
      <w:r w:rsidR="00311B75">
        <w:rPr>
          <w:rFonts w:ascii="Times New Roman" w:hAnsi="Times New Roman" w:cs="Times New Roman"/>
          <w:sz w:val="24"/>
          <w:szCs w:val="24"/>
        </w:rPr>
        <w:t>.</w:t>
      </w:r>
      <w:r w:rsidRPr="00AB475B">
        <w:rPr>
          <w:rFonts w:ascii="Times New Roman" w:hAnsi="Times New Roman" w:cs="Times New Roman"/>
          <w:sz w:val="24"/>
          <w:szCs w:val="24"/>
        </w:rPr>
        <w:t xml:space="preserve"> GPR scan </w:t>
      </w:r>
      <w:r w:rsidR="00071095">
        <w:rPr>
          <w:rFonts w:ascii="Times New Roman" w:hAnsi="Times New Roman" w:cs="Times New Roman"/>
          <w:sz w:val="24"/>
          <w:szCs w:val="24"/>
        </w:rPr>
        <w:t xml:space="preserve">on the </w:t>
      </w:r>
      <w:r w:rsidRPr="00AB475B">
        <w:rPr>
          <w:rFonts w:ascii="Times New Roman" w:hAnsi="Times New Roman" w:cs="Times New Roman"/>
          <w:sz w:val="24"/>
          <w:szCs w:val="24"/>
        </w:rPr>
        <w:t xml:space="preserve">plate </w:t>
      </w:r>
    </w:p>
    <w:p w14:paraId="19B1632F" w14:textId="3D2F0682" w:rsidR="00AB475B" w:rsidRPr="00AB475B" w:rsidRDefault="00AB475B"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 xml:space="preserve">11 </w:t>
      </w:r>
      <w:r w:rsidRPr="00AB475B">
        <w:rPr>
          <w:rFonts w:ascii="Times New Roman" w:hAnsi="Times New Roman" w:cs="Times New Roman"/>
          <w:sz w:val="24"/>
          <w:szCs w:val="24"/>
        </w:rPr>
        <w:t>shows the GPR scan for the 2-in. pipe. The pipe reflection is evident from the hyperbolic signature, highlighted within the dashed red curves. The accompanying A-scan corresponds to a specific location at the apex of the hyperbola, indicated by the dashed vertical line. When compared to the plate scan, both similarities and differences can be observed. As in the plate scan, Peaks A and B are present, corresponding to the direct wave and the first moisture boundary, respectively, with the latter associated with a moisture content of approximately 12%. However, the reflection pattern from the metal pipe is relatively distinct in shape, due to the geometry and orientation of the cylindrical reflector.</w:t>
      </w:r>
    </w:p>
    <w:p w14:paraId="524FAC64" w14:textId="7777777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lang w:eastAsia="zh-CN"/>
        </w:rPr>
        <w:drawing>
          <wp:inline distT="0" distB="0" distL="0" distR="0" wp14:anchorId="32643394" wp14:editId="491B8D7B">
            <wp:extent cx="3600844" cy="3163636"/>
            <wp:effectExtent l="0" t="0" r="0" b="0"/>
            <wp:docPr id="1459638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6455" cy="3168565"/>
                    </a:xfrm>
                    <a:prstGeom prst="rect">
                      <a:avLst/>
                    </a:prstGeom>
                    <a:noFill/>
                  </pic:spPr>
                </pic:pic>
              </a:graphicData>
            </a:graphic>
          </wp:inline>
        </w:drawing>
      </w:r>
    </w:p>
    <w:p w14:paraId="55956BF1" w14:textId="3344502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11</w:t>
      </w:r>
      <w:r w:rsidR="00311B75">
        <w:rPr>
          <w:rFonts w:ascii="Times New Roman" w:hAnsi="Times New Roman" w:cs="Times New Roman"/>
          <w:sz w:val="24"/>
          <w:szCs w:val="24"/>
        </w:rPr>
        <w:t>.</w:t>
      </w:r>
      <w:r w:rsidR="00071095">
        <w:rPr>
          <w:rFonts w:ascii="Times New Roman" w:hAnsi="Times New Roman" w:cs="Times New Roman"/>
          <w:sz w:val="24"/>
          <w:szCs w:val="24"/>
        </w:rPr>
        <w:t xml:space="preserve"> GPR scan on 2 in. pipe</w:t>
      </w:r>
    </w:p>
    <w:p w14:paraId="0B7DBC8F" w14:textId="05A85429" w:rsidR="00AB475B" w:rsidRPr="00AB475B" w:rsidRDefault="00AB475B"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 xml:space="preserve">When compared to the shape of the antenna pulse shown in </w:t>
      </w:r>
      <w:r>
        <w:rPr>
          <w:rFonts w:ascii="Times New Roman" w:hAnsi="Times New Roman" w:cs="Times New Roman"/>
          <w:sz w:val="24"/>
          <w:szCs w:val="24"/>
        </w:rPr>
        <w:t>Figure 12</w:t>
      </w:r>
      <w:r w:rsidRPr="00AB475B">
        <w:rPr>
          <w:rFonts w:ascii="Times New Roman" w:hAnsi="Times New Roman" w:cs="Times New Roman"/>
          <w:sz w:val="24"/>
          <w:szCs w:val="24"/>
        </w:rPr>
        <w:t xml:space="preserve">, it is desirable for the metal reflection to exhibit a similar signal shape. In the plate scan—taken with the GPR antenna in a static position—the reflection peak (C) closely resembles the original antenna pulse shape. In contrast, </w:t>
      </w:r>
      <w:r w:rsidRPr="00AB475B">
        <w:rPr>
          <w:rFonts w:ascii="Times New Roman" w:hAnsi="Times New Roman" w:cs="Times New Roman"/>
          <w:sz w:val="24"/>
          <w:szCs w:val="24"/>
          <w:highlight w:val="yellow"/>
        </w:rPr>
        <w:t>the pipe reflection consists of two distinct peaks (C and C1).</w:t>
      </w:r>
      <w:r w:rsidRPr="00AB475B">
        <w:rPr>
          <w:rFonts w:ascii="Times New Roman" w:hAnsi="Times New Roman" w:cs="Times New Roman"/>
          <w:sz w:val="24"/>
          <w:szCs w:val="24"/>
        </w:rPr>
        <w:t xml:space="preserve"> This could potentially be attributed to the curvature of the pipe, which introduces additional complexity, not present in the flat plate reflection. Another possible explanation is the interference or merging of the pipe reflection with a reflected signal from a moisture boundary, where the moisture content was measured to be 28% by the sensor.</w:t>
      </w:r>
    </w:p>
    <w:p w14:paraId="196F1A07" w14:textId="7777777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lang w:eastAsia="zh-CN"/>
        </w:rPr>
        <w:drawing>
          <wp:inline distT="0" distB="0" distL="0" distR="0" wp14:anchorId="410F83EC" wp14:editId="0B44BF37">
            <wp:extent cx="2536466" cy="1619943"/>
            <wp:effectExtent l="0" t="0" r="0" b="0"/>
            <wp:docPr id="957473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703" cy="1622649"/>
                    </a:xfrm>
                    <a:prstGeom prst="rect">
                      <a:avLst/>
                    </a:prstGeom>
                    <a:noFill/>
                  </pic:spPr>
                </pic:pic>
              </a:graphicData>
            </a:graphic>
          </wp:inline>
        </w:drawing>
      </w:r>
    </w:p>
    <w:p w14:paraId="56463431" w14:textId="5427D6BE"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12</w:t>
      </w:r>
      <w:r w:rsidR="00311B75">
        <w:rPr>
          <w:rFonts w:ascii="Times New Roman" w:hAnsi="Times New Roman" w:cs="Times New Roman"/>
          <w:sz w:val="24"/>
          <w:szCs w:val="24"/>
        </w:rPr>
        <w:t>.</w:t>
      </w:r>
      <w:r w:rsidRPr="00AB475B">
        <w:rPr>
          <w:rFonts w:ascii="Times New Roman" w:hAnsi="Times New Roman" w:cs="Times New Roman"/>
          <w:sz w:val="24"/>
          <w:szCs w:val="24"/>
        </w:rPr>
        <w:t xml:space="preserve"> Pulse shape </w:t>
      </w:r>
      <w:r w:rsidR="00311B75">
        <w:rPr>
          <w:rFonts w:ascii="Times New Roman" w:hAnsi="Times New Roman" w:cs="Times New Roman"/>
          <w:sz w:val="24"/>
          <w:szCs w:val="24"/>
        </w:rPr>
        <w:t>sent by GPR</w:t>
      </w:r>
    </w:p>
    <w:p w14:paraId="3A359D3F" w14:textId="5937818E" w:rsidR="00AB475B" w:rsidRPr="00AB475B" w:rsidRDefault="00AB475B" w:rsidP="00AB475B">
      <w:pPr>
        <w:spacing w:line="240" w:lineRule="auto"/>
        <w:rPr>
          <w:rFonts w:ascii="Times New Roman" w:eastAsiaTheme="minorEastAsia"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13</w:t>
      </w:r>
      <w:r w:rsidRPr="00AB475B">
        <w:rPr>
          <w:rFonts w:ascii="Times New Roman" w:hAnsi="Times New Roman" w:cs="Times New Roman"/>
          <w:sz w:val="24"/>
          <w:szCs w:val="24"/>
        </w:rPr>
        <w:t xml:space="preserve"> shows the variation in A-scans (obtained at the peak of the hyperbola) across different days, corresponding to varying moisture conditions. For clarity, results from the days with the highest, intermediate, and lowest recorded moisture at the bottom of the sandbox are compared. The moisture configurations (top/middle/bottom in %) for the selected days are as follows: 21/12.1/28 for March 10; 19.4/11.5/24.3 for March 26; and 18.5/10.9/22.2 for March 31. It is evident that as the moisture around the pipeline decreases, a leftward shift is observed in the peak at approximately 6 ns, as well as in the peaks between 10 and 14 ns. This shift can be directly inte</w:t>
      </w:r>
      <w:r>
        <w:rPr>
          <w:rFonts w:ascii="Times New Roman" w:hAnsi="Times New Roman" w:cs="Times New Roman"/>
          <w:sz w:val="24"/>
          <w:szCs w:val="24"/>
        </w:rPr>
        <w:t>rpreted as</w:t>
      </w:r>
      <w:r w:rsidRPr="00AB475B">
        <w:rPr>
          <w:rFonts w:ascii="Times New Roman" w:hAnsi="Times New Roman" w:cs="Times New Roman"/>
          <w:sz w:val="24"/>
          <w:szCs w:val="24"/>
        </w:rPr>
        <w:t xml:space="preserve"> inc</w:t>
      </w:r>
      <w:r>
        <w:rPr>
          <w:rFonts w:ascii="Times New Roman" w:hAnsi="Times New Roman" w:cs="Times New Roman"/>
          <w:sz w:val="24"/>
          <w:szCs w:val="24"/>
        </w:rPr>
        <w:t xml:space="preserve">rease in wave velocity due to </w:t>
      </w:r>
      <w:r w:rsidRPr="00AB475B">
        <w:rPr>
          <w:rFonts w:ascii="Times New Roman" w:hAnsi="Times New Roman" w:cs="Times New Roman"/>
          <w:sz w:val="24"/>
          <w:szCs w:val="24"/>
        </w:rPr>
        <w:t xml:space="preserve">decrease in the dielectric constant. </w:t>
      </w:r>
    </w:p>
    <w:p w14:paraId="298A42EC" w14:textId="7777777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lang w:eastAsia="zh-CN"/>
        </w:rPr>
        <w:drawing>
          <wp:inline distT="0" distB="0" distL="0" distR="0" wp14:anchorId="2607E71B" wp14:editId="1839B1C8">
            <wp:extent cx="4653887" cy="3117102"/>
            <wp:effectExtent l="0" t="0" r="0" b="7620"/>
            <wp:docPr id="277757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887" cy="3117102"/>
                    </a:xfrm>
                    <a:prstGeom prst="rect">
                      <a:avLst/>
                    </a:prstGeom>
                    <a:noFill/>
                  </pic:spPr>
                </pic:pic>
              </a:graphicData>
            </a:graphic>
          </wp:inline>
        </w:drawing>
      </w:r>
    </w:p>
    <w:p w14:paraId="0B12AE64" w14:textId="15F031B9" w:rsidR="00311B75" w:rsidRDefault="00AB475B" w:rsidP="00311B75">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13</w:t>
      </w:r>
      <w:r w:rsidR="00311B75">
        <w:rPr>
          <w:rFonts w:ascii="Times New Roman" w:hAnsi="Times New Roman" w:cs="Times New Roman"/>
          <w:sz w:val="24"/>
          <w:szCs w:val="24"/>
        </w:rPr>
        <w:t>.</w:t>
      </w:r>
      <w:r w:rsidRPr="00AB475B">
        <w:rPr>
          <w:rFonts w:ascii="Times New Roman" w:hAnsi="Times New Roman" w:cs="Times New Roman"/>
          <w:sz w:val="24"/>
          <w:szCs w:val="24"/>
        </w:rPr>
        <w:t xml:space="preserve"> </w:t>
      </w:r>
      <w:r w:rsidR="00311B75">
        <w:rPr>
          <w:rFonts w:ascii="Times New Roman" w:hAnsi="Times New Roman" w:cs="Times New Roman"/>
          <w:sz w:val="24"/>
          <w:szCs w:val="24"/>
        </w:rPr>
        <w:t>A-</w:t>
      </w:r>
      <w:r w:rsidRPr="00AB475B">
        <w:rPr>
          <w:rFonts w:ascii="Times New Roman" w:hAnsi="Times New Roman" w:cs="Times New Roman"/>
          <w:sz w:val="24"/>
          <w:szCs w:val="24"/>
        </w:rPr>
        <w:t xml:space="preserve"> scans </w:t>
      </w:r>
      <w:r w:rsidR="00311B75">
        <w:rPr>
          <w:rFonts w:ascii="Times New Roman" w:hAnsi="Times New Roman" w:cs="Times New Roman"/>
          <w:sz w:val="24"/>
          <w:szCs w:val="24"/>
        </w:rPr>
        <w:t>on 2 in. pipe</w:t>
      </w:r>
      <w:r w:rsidRPr="00AB475B">
        <w:rPr>
          <w:rFonts w:ascii="Times New Roman" w:hAnsi="Times New Roman" w:cs="Times New Roman"/>
          <w:sz w:val="24"/>
          <w:szCs w:val="24"/>
        </w:rPr>
        <w:t xml:space="preserve"> </w:t>
      </w:r>
      <w:r w:rsidR="00311B75">
        <w:rPr>
          <w:rFonts w:ascii="Times New Roman" w:hAnsi="Times New Roman" w:cs="Times New Roman"/>
          <w:sz w:val="24"/>
          <w:szCs w:val="24"/>
        </w:rPr>
        <w:t>in two</w:t>
      </w:r>
      <w:r w:rsidR="00311B75" w:rsidRPr="00AB475B">
        <w:rPr>
          <w:rFonts w:ascii="Times New Roman" w:hAnsi="Times New Roman" w:cs="Times New Roman"/>
          <w:sz w:val="24"/>
          <w:szCs w:val="24"/>
        </w:rPr>
        <w:t xml:space="preserve"> days </w:t>
      </w:r>
      <w:r w:rsidR="00311B75">
        <w:rPr>
          <w:rFonts w:ascii="Times New Roman" w:hAnsi="Times New Roman" w:cs="Times New Roman"/>
          <w:sz w:val="24"/>
          <w:szCs w:val="24"/>
        </w:rPr>
        <w:t>having</w:t>
      </w:r>
      <w:r w:rsidR="00311B75" w:rsidRPr="00AB475B">
        <w:rPr>
          <w:rFonts w:ascii="Times New Roman" w:hAnsi="Times New Roman" w:cs="Times New Roman"/>
          <w:sz w:val="24"/>
          <w:szCs w:val="24"/>
        </w:rPr>
        <w:t xml:space="preserve"> </w:t>
      </w:r>
      <w:r w:rsidR="00311B75">
        <w:rPr>
          <w:rFonts w:ascii="Times New Roman" w:hAnsi="Times New Roman" w:cs="Times New Roman"/>
          <w:sz w:val="24"/>
          <w:szCs w:val="24"/>
        </w:rPr>
        <w:t>different</w:t>
      </w:r>
      <w:r w:rsidR="00311B75" w:rsidRPr="00AB475B">
        <w:rPr>
          <w:rFonts w:ascii="Times New Roman" w:hAnsi="Times New Roman" w:cs="Times New Roman"/>
          <w:sz w:val="24"/>
          <w:szCs w:val="24"/>
        </w:rPr>
        <w:t xml:space="preserve"> moisture distributio</w:t>
      </w:r>
      <w:r w:rsidR="00311B75">
        <w:rPr>
          <w:rFonts w:ascii="Times New Roman" w:hAnsi="Times New Roman" w:cs="Times New Roman"/>
          <w:sz w:val="24"/>
          <w:szCs w:val="24"/>
        </w:rPr>
        <w:t>ns</w:t>
      </w:r>
      <w:r w:rsidR="00311B75" w:rsidRPr="00AB475B">
        <w:rPr>
          <w:rFonts w:ascii="Times New Roman" w:hAnsi="Times New Roman" w:cs="Times New Roman"/>
          <w:sz w:val="24"/>
          <w:szCs w:val="24"/>
        </w:rPr>
        <w:t xml:space="preserve"> </w:t>
      </w:r>
    </w:p>
    <w:p w14:paraId="0EDCCB53" w14:textId="27FC09DA" w:rsidR="00AB475B" w:rsidRPr="00AB475B" w:rsidRDefault="00AB475B" w:rsidP="00311B75">
      <w:pPr>
        <w:spacing w:line="240" w:lineRule="auto"/>
        <w:rPr>
          <w:rFonts w:ascii="Times New Roman" w:hAnsi="Times New Roman" w:cs="Times New Roman"/>
          <w:sz w:val="24"/>
          <w:szCs w:val="24"/>
        </w:rPr>
      </w:pPr>
      <w:r w:rsidRPr="00AB475B">
        <w:rPr>
          <w:rFonts w:ascii="Times New Roman" w:hAnsi="Times New Roman" w:cs="Times New Roman"/>
          <w:sz w:val="24"/>
          <w:szCs w:val="24"/>
        </w:rPr>
        <w:t>The consistency of the above interpretation was further validated when similar moisture profiles were recorded on different measurement days. On such days, the A-scans were found to be comparable, as shown in Figure 1</w:t>
      </w:r>
      <w:r>
        <w:rPr>
          <w:rFonts w:ascii="Times New Roman" w:hAnsi="Times New Roman" w:cs="Times New Roman"/>
          <w:sz w:val="24"/>
          <w:szCs w:val="24"/>
        </w:rPr>
        <w:t>4</w:t>
      </w:r>
      <w:r w:rsidRPr="00AB475B">
        <w:rPr>
          <w:rFonts w:ascii="Times New Roman" w:hAnsi="Times New Roman" w:cs="Times New Roman"/>
          <w:sz w:val="24"/>
          <w:szCs w:val="24"/>
        </w:rPr>
        <w:t>. The moisture profiles (top/middle/bottom in %) were 19/10.6/22.7 on March 14, and 19.3/11.3/23 on March 27. These observations reinforce the reliability and repeatability of the reported methodology.</w:t>
      </w:r>
    </w:p>
    <w:p w14:paraId="4770DFC8" w14:textId="77777777" w:rsidR="00AB475B" w:rsidRPr="00AB475B" w:rsidRDefault="00AB475B" w:rsidP="00AB475B">
      <w:pPr>
        <w:spacing w:line="240" w:lineRule="auto"/>
        <w:rPr>
          <w:rFonts w:ascii="Times New Roman" w:hAnsi="Times New Roman" w:cs="Times New Roman"/>
          <w:sz w:val="24"/>
          <w:szCs w:val="24"/>
        </w:rPr>
      </w:pPr>
    </w:p>
    <w:p w14:paraId="5045D113" w14:textId="77777777"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rPr>
        <w:t>w</w:t>
      </w:r>
      <w:r w:rsidRPr="00AB475B">
        <w:rPr>
          <w:rFonts w:ascii="Times New Roman" w:hAnsi="Times New Roman" w:cs="Times New Roman"/>
          <w:noProof/>
          <w:sz w:val="24"/>
          <w:szCs w:val="24"/>
          <w:lang w:eastAsia="zh-CN"/>
        </w:rPr>
        <w:drawing>
          <wp:inline distT="0" distB="0" distL="0" distR="0" wp14:anchorId="7865F741" wp14:editId="7ACB8241">
            <wp:extent cx="3701354" cy="2479110"/>
            <wp:effectExtent l="0" t="0" r="0" b="0"/>
            <wp:docPr id="151300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3107" cy="2486982"/>
                    </a:xfrm>
                    <a:prstGeom prst="rect">
                      <a:avLst/>
                    </a:prstGeom>
                    <a:noFill/>
                  </pic:spPr>
                </pic:pic>
              </a:graphicData>
            </a:graphic>
          </wp:inline>
        </w:drawing>
      </w:r>
    </w:p>
    <w:p w14:paraId="2172A271" w14:textId="3D66A9C0" w:rsid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Pr>
          <w:rFonts w:ascii="Times New Roman" w:hAnsi="Times New Roman" w:cs="Times New Roman"/>
          <w:sz w:val="24"/>
          <w:szCs w:val="24"/>
        </w:rPr>
        <w:t>14</w:t>
      </w:r>
      <w:r w:rsidR="00311B75">
        <w:rPr>
          <w:rFonts w:ascii="Times New Roman" w:hAnsi="Times New Roman" w:cs="Times New Roman"/>
          <w:sz w:val="24"/>
          <w:szCs w:val="24"/>
        </w:rPr>
        <w:t>.</w:t>
      </w:r>
      <w:r w:rsidRPr="00AB475B">
        <w:rPr>
          <w:rFonts w:ascii="Times New Roman" w:hAnsi="Times New Roman" w:cs="Times New Roman"/>
          <w:sz w:val="24"/>
          <w:szCs w:val="24"/>
        </w:rPr>
        <w:t xml:space="preserve"> </w:t>
      </w:r>
      <w:r w:rsidR="00311B75">
        <w:rPr>
          <w:rFonts w:ascii="Times New Roman" w:hAnsi="Times New Roman" w:cs="Times New Roman"/>
          <w:sz w:val="24"/>
          <w:szCs w:val="24"/>
        </w:rPr>
        <w:t>Similarity in A-</w:t>
      </w:r>
      <w:r w:rsidRPr="00AB475B">
        <w:rPr>
          <w:rFonts w:ascii="Times New Roman" w:hAnsi="Times New Roman" w:cs="Times New Roman"/>
          <w:sz w:val="24"/>
          <w:szCs w:val="24"/>
        </w:rPr>
        <w:t xml:space="preserve">scans on </w:t>
      </w:r>
      <w:r w:rsidR="00311B75">
        <w:rPr>
          <w:rFonts w:ascii="Times New Roman" w:hAnsi="Times New Roman" w:cs="Times New Roman"/>
          <w:sz w:val="24"/>
          <w:szCs w:val="24"/>
        </w:rPr>
        <w:t>2 in. pipe in two</w:t>
      </w:r>
      <w:r w:rsidRPr="00AB475B">
        <w:rPr>
          <w:rFonts w:ascii="Times New Roman" w:hAnsi="Times New Roman" w:cs="Times New Roman"/>
          <w:sz w:val="24"/>
          <w:szCs w:val="24"/>
        </w:rPr>
        <w:t xml:space="preserve"> days </w:t>
      </w:r>
      <w:r w:rsidR="00311B75">
        <w:rPr>
          <w:rFonts w:ascii="Times New Roman" w:hAnsi="Times New Roman" w:cs="Times New Roman"/>
          <w:sz w:val="24"/>
          <w:szCs w:val="24"/>
        </w:rPr>
        <w:t>having</w:t>
      </w:r>
      <w:r w:rsidRPr="00AB475B">
        <w:rPr>
          <w:rFonts w:ascii="Times New Roman" w:hAnsi="Times New Roman" w:cs="Times New Roman"/>
          <w:sz w:val="24"/>
          <w:szCs w:val="24"/>
        </w:rPr>
        <w:t xml:space="preserve"> similar moisture distributio</w:t>
      </w:r>
      <w:r>
        <w:rPr>
          <w:rFonts w:ascii="Times New Roman" w:hAnsi="Times New Roman" w:cs="Times New Roman"/>
          <w:sz w:val="24"/>
          <w:szCs w:val="24"/>
        </w:rPr>
        <w:t>n</w:t>
      </w:r>
      <w:r w:rsidR="00311B75">
        <w:rPr>
          <w:rFonts w:ascii="Times New Roman" w:hAnsi="Times New Roman" w:cs="Times New Roman"/>
          <w:sz w:val="24"/>
          <w:szCs w:val="24"/>
        </w:rPr>
        <w:t>s</w:t>
      </w:r>
    </w:p>
    <w:p w14:paraId="38ACBFB5" w14:textId="75C67905" w:rsidR="00AB475B" w:rsidRDefault="00AB475B" w:rsidP="00AB475B">
      <w:pPr>
        <w:spacing w:line="240" w:lineRule="auto"/>
        <w:rPr>
          <w:rFonts w:ascii="Times New Roman" w:hAnsi="Times New Roman" w:cs="Times New Roman"/>
          <w:sz w:val="24"/>
          <w:szCs w:val="24"/>
        </w:rPr>
      </w:pPr>
      <w:r w:rsidRPr="00AB475B">
        <w:rPr>
          <w:rFonts w:ascii="Times New Roman" w:hAnsi="Times New Roman" w:cs="Times New Roman"/>
          <w:sz w:val="24"/>
          <w:szCs w:val="24"/>
        </w:rPr>
        <w:t>Similar to the observations in the previous section, a leftward shift in the observed peaks is evident in Figure 1</w:t>
      </w:r>
      <w:r w:rsidR="005A2B43">
        <w:rPr>
          <w:rFonts w:ascii="Times New Roman" w:hAnsi="Times New Roman" w:cs="Times New Roman"/>
          <w:sz w:val="24"/>
          <w:szCs w:val="24"/>
        </w:rPr>
        <w:t>5</w:t>
      </w:r>
      <w:r w:rsidRPr="00AB475B">
        <w:rPr>
          <w:rFonts w:ascii="Times New Roman" w:hAnsi="Times New Roman" w:cs="Times New Roman"/>
          <w:sz w:val="24"/>
          <w:szCs w:val="24"/>
        </w:rPr>
        <w:t xml:space="preserve"> with decreasing moisture content. The moisture profiles (top/middle/bottom in %) were 20.1/12.1/27.1 on March 18 and 18.5/10.9/22.2 on March 31. This shift is attributed to an increase in pulse velocity resulting from a decrease in the dielectric constant. Furthermore, the GPR scans remain consistent across different inspection days with similar moisture conditions, as shown in Figure </w:t>
      </w:r>
      <w:r w:rsidR="005A2B43">
        <w:rPr>
          <w:rFonts w:ascii="Times New Roman" w:hAnsi="Times New Roman" w:cs="Times New Roman"/>
          <w:sz w:val="24"/>
          <w:szCs w:val="24"/>
        </w:rPr>
        <w:t>16</w:t>
      </w:r>
      <w:r w:rsidRPr="00AB475B">
        <w:rPr>
          <w:rFonts w:ascii="Times New Roman" w:hAnsi="Times New Roman" w:cs="Times New Roman"/>
          <w:sz w:val="24"/>
          <w:szCs w:val="24"/>
        </w:rPr>
        <w:t>. This observation further supports the reliability of the reported methodology.</w:t>
      </w:r>
    </w:p>
    <w:p w14:paraId="128C119D" w14:textId="77777777" w:rsidR="00AB475B" w:rsidRPr="00AB475B" w:rsidRDefault="00AB475B" w:rsidP="00AB475B">
      <w:pPr>
        <w:spacing w:line="240" w:lineRule="auto"/>
        <w:jc w:val="center"/>
        <w:rPr>
          <w:rFonts w:ascii="Times New Roman" w:hAnsi="Times New Roman" w:cs="Times New Roman"/>
          <w:b/>
          <w:bCs/>
          <w:sz w:val="24"/>
          <w:szCs w:val="24"/>
        </w:rPr>
      </w:pPr>
      <w:r w:rsidRPr="00AB475B">
        <w:rPr>
          <w:rFonts w:ascii="Times New Roman" w:hAnsi="Times New Roman" w:cs="Times New Roman"/>
          <w:b/>
          <w:bCs/>
          <w:noProof/>
          <w:sz w:val="24"/>
          <w:szCs w:val="24"/>
          <w:lang w:eastAsia="zh-CN"/>
        </w:rPr>
        <w:drawing>
          <wp:inline distT="0" distB="0" distL="0" distR="0" wp14:anchorId="6C50EB60" wp14:editId="7762B423">
            <wp:extent cx="4162242" cy="2501859"/>
            <wp:effectExtent l="0" t="0" r="0" b="0"/>
            <wp:docPr id="1276596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6404" cy="2516382"/>
                    </a:xfrm>
                    <a:prstGeom prst="rect">
                      <a:avLst/>
                    </a:prstGeom>
                    <a:noFill/>
                  </pic:spPr>
                </pic:pic>
              </a:graphicData>
            </a:graphic>
          </wp:inline>
        </w:drawing>
      </w:r>
    </w:p>
    <w:p w14:paraId="1BEBD145" w14:textId="5552AB15" w:rsidR="00311B75" w:rsidRDefault="00AB475B" w:rsidP="00311B75">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sidR="005A2B43">
        <w:rPr>
          <w:rFonts w:ascii="Times New Roman" w:hAnsi="Times New Roman" w:cs="Times New Roman"/>
          <w:sz w:val="24"/>
          <w:szCs w:val="24"/>
        </w:rPr>
        <w:t>15</w:t>
      </w:r>
      <w:r w:rsidR="00311B75">
        <w:rPr>
          <w:rFonts w:ascii="Times New Roman" w:hAnsi="Times New Roman" w:cs="Times New Roman"/>
          <w:sz w:val="24"/>
          <w:szCs w:val="24"/>
        </w:rPr>
        <w:t>.</w:t>
      </w:r>
      <w:r w:rsidRPr="00AB475B">
        <w:rPr>
          <w:rFonts w:ascii="Times New Roman" w:hAnsi="Times New Roman" w:cs="Times New Roman"/>
          <w:sz w:val="24"/>
          <w:szCs w:val="24"/>
        </w:rPr>
        <w:t xml:space="preserve"> Comparison of A-scans </w:t>
      </w:r>
      <w:r w:rsidR="00311B75">
        <w:rPr>
          <w:rFonts w:ascii="Times New Roman" w:hAnsi="Times New Roman" w:cs="Times New Roman"/>
          <w:sz w:val="24"/>
          <w:szCs w:val="24"/>
        </w:rPr>
        <w:t>on the</w:t>
      </w:r>
      <w:r w:rsidRPr="00AB475B">
        <w:rPr>
          <w:rFonts w:ascii="Times New Roman" w:hAnsi="Times New Roman" w:cs="Times New Roman"/>
          <w:sz w:val="24"/>
          <w:szCs w:val="24"/>
        </w:rPr>
        <w:t xml:space="preserve"> plate </w:t>
      </w:r>
      <w:r w:rsidR="00311B75">
        <w:rPr>
          <w:rFonts w:ascii="Times New Roman" w:hAnsi="Times New Roman" w:cs="Times New Roman"/>
          <w:sz w:val="24"/>
          <w:szCs w:val="24"/>
        </w:rPr>
        <w:t>in two</w:t>
      </w:r>
      <w:r w:rsidR="00311B75" w:rsidRPr="00AB475B">
        <w:rPr>
          <w:rFonts w:ascii="Times New Roman" w:hAnsi="Times New Roman" w:cs="Times New Roman"/>
          <w:sz w:val="24"/>
          <w:szCs w:val="24"/>
        </w:rPr>
        <w:t xml:space="preserve"> days </w:t>
      </w:r>
      <w:r w:rsidR="00311B75">
        <w:rPr>
          <w:rFonts w:ascii="Times New Roman" w:hAnsi="Times New Roman" w:cs="Times New Roman"/>
          <w:sz w:val="24"/>
          <w:szCs w:val="24"/>
        </w:rPr>
        <w:t>having</w:t>
      </w:r>
      <w:r w:rsidR="00311B75" w:rsidRPr="00AB475B">
        <w:rPr>
          <w:rFonts w:ascii="Times New Roman" w:hAnsi="Times New Roman" w:cs="Times New Roman"/>
          <w:sz w:val="24"/>
          <w:szCs w:val="24"/>
        </w:rPr>
        <w:t xml:space="preserve"> </w:t>
      </w:r>
      <w:r w:rsidR="00311B75">
        <w:rPr>
          <w:rFonts w:ascii="Times New Roman" w:hAnsi="Times New Roman" w:cs="Times New Roman"/>
          <w:sz w:val="24"/>
          <w:szCs w:val="24"/>
        </w:rPr>
        <w:t>different</w:t>
      </w:r>
      <w:r w:rsidR="00311B75" w:rsidRPr="00AB475B">
        <w:rPr>
          <w:rFonts w:ascii="Times New Roman" w:hAnsi="Times New Roman" w:cs="Times New Roman"/>
          <w:sz w:val="24"/>
          <w:szCs w:val="24"/>
        </w:rPr>
        <w:t xml:space="preserve"> moisture distributio</w:t>
      </w:r>
      <w:r w:rsidR="00311B75">
        <w:rPr>
          <w:rFonts w:ascii="Times New Roman" w:hAnsi="Times New Roman" w:cs="Times New Roman"/>
          <w:sz w:val="24"/>
          <w:szCs w:val="24"/>
        </w:rPr>
        <w:t>ns</w:t>
      </w:r>
    </w:p>
    <w:p w14:paraId="4670075C" w14:textId="25788750"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noProof/>
          <w:sz w:val="24"/>
          <w:szCs w:val="24"/>
          <w:lang w:eastAsia="zh-CN"/>
        </w:rPr>
        <w:drawing>
          <wp:inline distT="0" distB="0" distL="0" distR="0" wp14:anchorId="20A5A312" wp14:editId="0D6DA2DD">
            <wp:extent cx="4381995" cy="2628568"/>
            <wp:effectExtent l="0" t="0" r="0" b="635"/>
            <wp:docPr id="132309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350" cy="2634180"/>
                    </a:xfrm>
                    <a:prstGeom prst="rect">
                      <a:avLst/>
                    </a:prstGeom>
                    <a:noFill/>
                  </pic:spPr>
                </pic:pic>
              </a:graphicData>
            </a:graphic>
          </wp:inline>
        </w:drawing>
      </w:r>
    </w:p>
    <w:p w14:paraId="52D73B39" w14:textId="4619A0F5" w:rsidR="00AB475B" w:rsidRPr="00AB475B" w:rsidRDefault="00AB475B" w:rsidP="00AB475B">
      <w:pPr>
        <w:spacing w:line="240" w:lineRule="auto"/>
        <w:jc w:val="center"/>
        <w:rPr>
          <w:rFonts w:ascii="Times New Roman" w:hAnsi="Times New Roman" w:cs="Times New Roman"/>
          <w:sz w:val="24"/>
          <w:szCs w:val="24"/>
        </w:rPr>
      </w:pPr>
      <w:r w:rsidRPr="00AB475B">
        <w:rPr>
          <w:rFonts w:ascii="Times New Roman" w:hAnsi="Times New Roman" w:cs="Times New Roman"/>
          <w:sz w:val="24"/>
          <w:szCs w:val="24"/>
        </w:rPr>
        <w:t xml:space="preserve">Figure </w:t>
      </w:r>
      <w:r w:rsidR="005A2B43">
        <w:rPr>
          <w:rFonts w:ascii="Times New Roman" w:hAnsi="Times New Roman" w:cs="Times New Roman"/>
          <w:sz w:val="24"/>
          <w:szCs w:val="24"/>
        </w:rPr>
        <w:t>16</w:t>
      </w:r>
      <w:r w:rsidR="00311B75">
        <w:rPr>
          <w:rFonts w:ascii="Times New Roman" w:hAnsi="Times New Roman" w:cs="Times New Roman"/>
          <w:sz w:val="24"/>
          <w:szCs w:val="24"/>
        </w:rPr>
        <w:t>. Similarity in A-</w:t>
      </w:r>
      <w:r w:rsidRPr="00AB475B">
        <w:rPr>
          <w:rFonts w:ascii="Times New Roman" w:hAnsi="Times New Roman" w:cs="Times New Roman"/>
          <w:sz w:val="24"/>
          <w:szCs w:val="24"/>
        </w:rPr>
        <w:t xml:space="preserve">scans </w:t>
      </w:r>
      <w:r w:rsidR="00311B75">
        <w:rPr>
          <w:rFonts w:ascii="Times New Roman" w:hAnsi="Times New Roman" w:cs="Times New Roman"/>
          <w:sz w:val="24"/>
          <w:szCs w:val="24"/>
        </w:rPr>
        <w:t>on the</w:t>
      </w:r>
      <w:r w:rsidRPr="00AB475B">
        <w:rPr>
          <w:rFonts w:ascii="Times New Roman" w:hAnsi="Times New Roman" w:cs="Times New Roman"/>
          <w:sz w:val="24"/>
          <w:szCs w:val="24"/>
        </w:rPr>
        <w:t xml:space="preserve"> plate on </w:t>
      </w:r>
      <w:r w:rsidR="00311B75">
        <w:rPr>
          <w:rFonts w:ascii="Times New Roman" w:hAnsi="Times New Roman" w:cs="Times New Roman"/>
          <w:sz w:val="24"/>
          <w:szCs w:val="24"/>
        </w:rPr>
        <w:t>in two</w:t>
      </w:r>
      <w:r w:rsidRPr="00AB475B">
        <w:rPr>
          <w:rFonts w:ascii="Times New Roman" w:hAnsi="Times New Roman" w:cs="Times New Roman"/>
          <w:sz w:val="24"/>
          <w:szCs w:val="24"/>
        </w:rPr>
        <w:t xml:space="preserve"> days </w:t>
      </w:r>
      <w:r w:rsidR="00311B75">
        <w:rPr>
          <w:rFonts w:ascii="Times New Roman" w:hAnsi="Times New Roman" w:cs="Times New Roman"/>
          <w:sz w:val="24"/>
          <w:szCs w:val="24"/>
        </w:rPr>
        <w:t>having</w:t>
      </w:r>
      <w:r>
        <w:rPr>
          <w:rFonts w:ascii="Times New Roman" w:hAnsi="Times New Roman" w:cs="Times New Roman"/>
          <w:sz w:val="24"/>
          <w:szCs w:val="24"/>
        </w:rPr>
        <w:t xml:space="preserve"> similar moisture distribution</w:t>
      </w:r>
      <w:r w:rsidR="00311B75">
        <w:rPr>
          <w:rFonts w:ascii="Times New Roman" w:hAnsi="Times New Roman" w:cs="Times New Roman"/>
          <w:sz w:val="24"/>
          <w:szCs w:val="24"/>
        </w:rPr>
        <w:t>s</w:t>
      </w:r>
    </w:p>
    <w:p w14:paraId="63682AE8" w14:textId="77777777" w:rsidR="00AB475B" w:rsidRPr="00AB475B" w:rsidRDefault="00AB475B" w:rsidP="00AB475B">
      <w:pPr>
        <w:spacing w:line="240" w:lineRule="auto"/>
        <w:rPr>
          <w:rFonts w:ascii="Times New Roman" w:hAnsi="Times New Roman" w:cs="Times New Roman"/>
          <w:b/>
          <w:bCs/>
          <w:sz w:val="24"/>
          <w:szCs w:val="24"/>
        </w:rPr>
      </w:pPr>
    </w:p>
    <w:sectPr w:rsidR="00AB475B" w:rsidRPr="00AB475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4F7F4" w14:textId="77777777" w:rsidR="00867232" w:rsidRDefault="00867232" w:rsidP="005802C7">
      <w:pPr>
        <w:spacing w:after="0" w:line="240" w:lineRule="auto"/>
      </w:pPr>
      <w:r>
        <w:separator/>
      </w:r>
    </w:p>
  </w:endnote>
  <w:endnote w:type="continuationSeparator" w:id="0">
    <w:p w14:paraId="73CA2786" w14:textId="77777777" w:rsidR="00867232" w:rsidRDefault="00867232" w:rsidP="0058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eXGyreTermesX-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924077456"/>
      <w:docPartObj>
        <w:docPartGallery w:val="Page Numbers (Bottom of Page)"/>
        <w:docPartUnique/>
      </w:docPartObj>
    </w:sdtPr>
    <w:sdtEndPr>
      <w:rPr>
        <w:noProof/>
      </w:rPr>
    </w:sdtEndPr>
    <w:sdtContent>
      <w:p w14:paraId="6CCD7D99" w14:textId="6800EF8F" w:rsidR="00CC0F74" w:rsidRPr="00311B75" w:rsidRDefault="00CC0F74" w:rsidP="0061073D">
        <w:pPr>
          <w:pStyle w:val="Footer"/>
          <w:jc w:val="center"/>
          <w:rPr>
            <w:rFonts w:ascii="Times New Roman" w:hAnsi="Times New Roman" w:cs="Times New Roman"/>
            <w:sz w:val="24"/>
          </w:rPr>
        </w:pPr>
        <w:r w:rsidRPr="00311B75">
          <w:rPr>
            <w:rFonts w:ascii="Times New Roman" w:hAnsi="Times New Roman" w:cs="Times New Roman"/>
            <w:sz w:val="24"/>
          </w:rPr>
          <w:fldChar w:fldCharType="begin"/>
        </w:r>
        <w:r w:rsidRPr="00311B75">
          <w:rPr>
            <w:rFonts w:ascii="Times New Roman" w:hAnsi="Times New Roman" w:cs="Times New Roman"/>
            <w:sz w:val="24"/>
          </w:rPr>
          <w:instrText xml:space="preserve"> PAGE   \* MERGEFORMAT </w:instrText>
        </w:r>
        <w:r w:rsidRPr="00311B75">
          <w:rPr>
            <w:rFonts w:ascii="Times New Roman" w:hAnsi="Times New Roman" w:cs="Times New Roman"/>
            <w:sz w:val="24"/>
          </w:rPr>
          <w:fldChar w:fldCharType="separate"/>
        </w:r>
        <w:r w:rsidR="00867232">
          <w:rPr>
            <w:rFonts w:ascii="Times New Roman" w:hAnsi="Times New Roman" w:cs="Times New Roman"/>
            <w:noProof/>
            <w:sz w:val="24"/>
          </w:rPr>
          <w:t>1</w:t>
        </w:r>
        <w:r w:rsidRPr="00311B75">
          <w:rPr>
            <w:rFonts w:ascii="Times New Roman" w:hAnsi="Times New Roman" w:cs="Times New Roman"/>
            <w:noProof/>
            <w:sz w:val="24"/>
          </w:rPr>
          <w:fldChar w:fldCharType="end"/>
        </w:r>
      </w:p>
    </w:sdtContent>
  </w:sdt>
  <w:p w14:paraId="58FEEA8B" w14:textId="0D2314B4" w:rsidR="00CC0F74" w:rsidRDefault="00CC0F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52754" w14:textId="77777777" w:rsidR="00867232" w:rsidRDefault="00867232" w:rsidP="005802C7">
      <w:pPr>
        <w:spacing w:after="0" w:line="240" w:lineRule="auto"/>
      </w:pPr>
      <w:r>
        <w:separator/>
      </w:r>
    </w:p>
  </w:footnote>
  <w:footnote w:type="continuationSeparator" w:id="0">
    <w:p w14:paraId="6555B224" w14:textId="77777777" w:rsidR="00867232" w:rsidRDefault="00867232" w:rsidP="00580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0908"/>
    <w:multiLevelType w:val="hybridMultilevel"/>
    <w:tmpl w:val="9B4C56CC"/>
    <w:lvl w:ilvl="0" w:tplc="03A2C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170B4"/>
    <w:multiLevelType w:val="hybridMultilevel"/>
    <w:tmpl w:val="917CCF74"/>
    <w:lvl w:ilvl="0" w:tplc="59EAD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C2A18"/>
    <w:multiLevelType w:val="hybridMultilevel"/>
    <w:tmpl w:val="3A46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4739D"/>
    <w:multiLevelType w:val="hybridMultilevel"/>
    <w:tmpl w:val="F672F5A0"/>
    <w:lvl w:ilvl="0" w:tplc="0DC6C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A18E7"/>
    <w:multiLevelType w:val="hybridMultilevel"/>
    <w:tmpl w:val="0C2C6168"/>
    <w:lvl w:ilvl="0" w:tplc="5CC203B4">
      <w:start w:val="1"/>
      <w:numFmt w:val="lowerLetter"/>
      <w:lvlText w:val="(%1)"/>
      <w:lvlJc w:val="left"/>
      <w:pPr>
        <w:ind w:left="460" w:hanging="361"/>
      </w:pPr>
      <w:rPr>
        <w:rFonts w:ascii="Times New Roman" w:eastAsia="Times New Roman" w:hAnsi="Times New Roman" w:cs="Times New Roman" w:hint="default"/>
        <w:b/>
        <w:bCs/>
        <w:w w:val="99"/>
        <w:sz w:val="24"/>
        <w:szCs w:val="24"/>
        <w:lang w:val="en-US" w:eastAsia="en-US" w:bidi="en-US"/>
      </w:rPr>
    </w:lvl>
    <w:lvl w:ilvl="1" w:tplc="6B644D0E">
      <w:numFmt w:val="bullet"/>
      <w:lvlText w:val="•"/>
      <w:lvlJc w:val="left"/>
      <w:pPr>
        <w:ind w:left="1436" w:hanging="361"/>
      </w:pPr>
      <w:rPr>
        <w:rFonts w:hint="default"/>
        <w:lang w:val="en-US" w:eastAsia="en-US" w:bidi="en-US"/>
      </w:rPr>
    </w:lvl>
    <w:lvl w:ilvl="2" w:tplc="668A3356">
      <w:numFmt w:val="bullet"/>
      <w:lvlText w:val="•"/>
      <w:lvlJc w:val="left"/>
      <w:pPr>
        <w:ind w:left="2412" w:hanging="361"/>
      </w:pPr>
      <w:rPr>
        <w:rFonts w:hint="default"/>
        <w:lang w:val="en-US" w:eastAsia="en-US" w:bidi="en-US"/>
      </w:rPr>
    </w:lvl>
    <w:lvl w:ilvl="3" w:tplc="EF788080">
      <w:numFmt w:val="bullet"/>
      <w:lvlText w:val="•"/>
      <w:lvlJc w:val="left"/>
      <w:pPr>
        <w:ind w:left="3388" w:hanging="361"/>
      </w:pPr>
      <w:rPr>
        <w:rFonts w:hint="default"/>
        <w:lang w:val="en-US" w:eastAsia="en-US" w:bidi="en-US"/>
      </w:rPr>
    </w:lvl>
    <w:lvl w:ilvl="4" w:tplc="36DAD8AC">
      <w:numFmt w:val="bullet"/>
      <w:lvlText w:val="•"/>
      <w:lvlJc w:val="left"/>
      <w:pPr>
        <w:ind w:left="4364" w:hanging="361"/>
      </w:pPr>
      <w:rPr>
        <w:rFonts w:hint="default"/>
        <w:lang w:val="en-US" w:eastAsia="en-US" w:bidi="en-US"/>
      </w:rPr>
    </w:lvl>
    <w:lvl w:ilvl="5" w:tplc="C6F0A172">
      <w:numFmt w:val="bullet"/>
      <w:lvlText w:val="•"/>
      <w:lvlJc w:val="left"/>
      <w:pPr>
        <w:ind w:left="5340" w:hanging="361"/>
      </w:pPr>
      <w:rPr>
        <w:rFonts w:hint="default"/>
        <w:lang w:val="en-US" w:eastAsia="en-US" w:bidi="en-US"/>
      </w:rPr>
    </w:lvl>
    <w:lvl w:ilvl="6" w:tplc="3246FF72">
      <w:numFmt w:val="bullet"/>
      <w:lvlText w:val="•"/>
      <w:lvlJc w:val="left"/>
      <w:pPr>
        <w:ind w:left="6316" w:hanging="361"/>
      </w:pPr>
      <w:rPr>
        <w:rFonts w:hint="default"/>
        <w:lang w:val="en-US" w:eastAsia="en-US" w:bidi="en-US"/>
      </w:rPr>
    </w:lvl>
    <w:lvl w:ilvl="7" w:tplc="6F1C0230">
      <w:numFmt w:val="bullet"/>
      <w:lvlText w:val="•"/>
      <w:lvlJc w:val="left"/>
      <w:pPr>
        <w:ind w:left="7292" w:hanging="361"/>
      </w:pPr>
      <w:rPr>
        <w:rFonts w:hint="default"/>
        <w:lang w:val="en-US" w:eastAsia="en-US" w:bidi="en-US"/>
      </w:rPr>
    </w:lvl>
    <w:lvl w:ilvl="8" w:tplc="48A40E5A">
      <w:numFmt w:val="bullet"/>
      <w:lvlText w:val="•"/>
      <w:lvlJc w:val="left"/>
      <w:pPr>
        <w:ind w:left="8268" w:hanging="361"/>
      </w:pPr>
      <w:rPr>
        <w:rFonts w:hint="default"/>
        <w:lang w:val="en-US" w:eastAsia="en-US" w:bidi="en-US"/>
      </w:rPr>
    </w:lvl>
  </w:abstractNum>
  <w:abstractNum w:abstractNumId="5" w15:restartNumberingAfterBreak="0">
    <w:nsid w:val="16557968"/>
    <w:multiLevelType w:val="hybridMultilevel"/>
    <w:tmpl w:val="B524C5B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3A4CA8"/>
    <w:multiLevelType w:val="hybridMultilevel"/>
    <w:tmpl w:val="9B4C56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B94D83"/>
    <w:multiLevelType w:val="hybridMultilevel"/>
    <w:tmpl w:val="9F425598"/>
    <w:lvl w:ilvl="0" w:tplc="9A146630">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8" w15:restartNumberingAfterBreak="0">
    <w:nsid w:val="1ECD5EA8"/>
    <w:multiLevelType w:val="hybridMultilevel"/>
    <w:tmpl w:val="F85ED84C"/>
    <w:lvl w:ilvl="0" w:tplc="D77AF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F6787"/>
    <w:multiLevelType w:val="multilevel"/>
    <w:tmpl w:val="436005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905676"/>
    <w:multiLevelType w:val="hybridMultilevel"/>
    <w:tmpl w:val="3F82CE1A"/>
    <w:lvl w:ilvl="0" w:tplc="2D6852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62A2C"/>
    <w:multiLevelType w:val="multilevel"/>
    <w:tmpl w:val="2AB26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2E652A"/>
    <w:multiLevelType w:val="multilevel"/>
    <w:tmpl w:val="A43C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C64182"/>
    <w:multiLevelType w:val="hybridMultilevel"/>
    <w:tmpl w:val="45508BD0"/>
    <w:lvl w:ilvl="0" w:tplc="785E51E6">
      <w:start w:val="1"/>
      <w:numFmt w:val="lowerLetter"/>
      <w:lvlText w:val="(%1)"/>
      <w:lvlJc w:val="left"/>
      <w:pPr>
        <w:ind w:left="4764" w:hanging="2364"/>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4" w15:restartNumberingAfterBreak="0">
    <w:nsid w:val="435C701D"/>
    <w:multiLevelType w:val="hybridMultilevel"/>
    <w:tmpl w:val="C6A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C53AA"/>
    <w:multiLevelType w:val="hybridMultilevel"/>
    <w:tmpl w:val="BAAA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76CFB"/>
    <w:multiLevelType w:val="multilevel"/>
    <w:tmpl w:val="2AD23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73821"/>
    <w:multiLevelType w:val="multilevel"/>
    <w:tmpl w:val="62D4D9A2"/>
    <w:lvl w:ilvl="0">
      <w:start w:val="1"/>
      <w:numFmt w:val="decimal"/>
      <w:pStyle w:val="Heading1"/>
      <w:lvlText w:val="%1."/>
      <w:lvlJc w:val="left"/>
      <w:pPr>
        <w:ind w:left="720" w:hanging="360"/>
      </w:pPr>
      <w:rPr>
        <w:rFonts w:hint="default"/>
      </w:rPr>
    </w:lvl>
    <w:lvl w:ilvl="1">
      <w:start w:val="1"/>
      <w:numFmt w:val="decimal"/>
      <w:pStyle w:val="Heading2"/>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4EC17805"/>
    <w:multiLevelType w:val="hybridMultilevel"/>
    <w:tmpl w:val="9B4C56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620158"/>
    <w:multiLevelType w:val="hybridMultilevel"/>
    <w:tmpl w:val="E1D8A93A"/>
    <w:lvl w:ilvl="0" w:tplc="D87ED87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2CE0074"/>
    <w:multiLevelType w:val="hybridMultilevel"/>
    <w:tmpl w:val="6050689C"/>
    <w:lvl w:ilvl="0" w:tplc="63483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2270BE"/>
    <w:multiLevelType w:val="hybridMultilevel"/>
    <w:tmpl w:val="4B880606"/>
    <w:lvl w:ilvl="0" w:tplc="03E016F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49236EB"/>
    <w:multiLevelType w:val="hybridMultilevel"/>
    <w:tmpl w:val="45508BD0"/>
    <w:lvl w:ilvl="0" w:tplc="785E51E6">
      <w:start w:val="1"/>
      <w:numFmt w:val="lowerLetter"/>
      <w:lvlText w:val="(%1)"/>
      <w:lvlJc w:val="left"/>
      <w:pPr>
        <w:ind w:left="4764" w:hanging="2364"/>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3" w15:restartNumberingAfterBreak="0">
    <w:nsid w:val="552A6B41"/>
    <w:multiLevelType w:val="hybridMultilevel"/>
    <w:tmpl w:val="9F425598"/>
    <w:lvl w:ilvl="0" w:tplc="9A146630">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24" w15:restartNumberingAfterBreak="0">
    <w:nsid w:val="5B447ABB"/>
    <w:multiLevelType w:val="multilevel"/>
    <w:tmpl w:val="F260CC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BEA7C59"/>
    <w:multiLevelType w:val="hybridMultilevel"/>
    <w:tmpl w:val="11B253C8"/>
    <w:lvl w:ilvl="0" w:tplc="5BE269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DC1E4F"/>
    <w:multiLevelType w:val="hybridMultilevel"/>
    <w:tmpl w:val="EA80F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B40EA1"/>
    <w:multiLevelType w:val="hybridMultilevel"/>
    <w:tmpl w:val="B30C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0595F"/>
    <w:multiLevelType w:val="hybridMultilevel"/>
    <w:tmpl w:val="B2446F94"/>
    <w:lvl w:ilvl="0" w:tplc="204C5206">
      <w:start w:val="1"/>
      <w:numFmt w:val="bullet"/>
      <w:lvlText w:val="•"/>
      <w:lvlJc w:val="left"/>
      <w:pPr>
        <w:tabs>
          <w:tab w:val="num" w:pos="720"/>
        </w:tabs>
        <w:ind w:left="720" w:hanging="360"/>
      </w:pPr>
      <w:rPr>
        <w:rFonts w:ascii="Times New Roman" w:hAnsi="Times New Roman" w:hint="default"/>
      </w:rPr>
    </w:lvl>
    <w:lvl w:ilvl="1" w:tplc="33B28C34" w:tentative="1">
      <w:start w:val="1"/>
      <w:numFmt w:val="bullet"/>
      <w:lvlText w:val="•"/>
      <w:lvlJc w:val="left"/>
      <w:pPr>
        <w:tabs>
          <w:tab w:val="num" w:pos="1440"/>
        </w:tabs>
        <w:ind w:left="1440" w:hanging="360"/>
      </w:pPr>
      <w:rPr>
        <w:rFonts w:ascii="Times New Roman" w:hAnsi="Times New Roman" w:hint="default"/>
      </w:rPr>
    </w:lvl>
    <w:lvl w:ilvl="2" w:tplc="25EAD790" w:tentative="1">
      <w:start w:val="1"/>
      <w:numFmt w:val="bullet"/>
      <w:lvlText w:val="•"/>
      <w:lvlJc w:val="left"/>
      <w:pPr>
        <w:tabs>
          <w:tab w:val="num" w:pos="2160"/>
        </w:tabs>
        <w:ind w:left="2160" w:hanging="360"/>
      </w:pPr>
      <w:rPr>
        <w:rFonts w:ascii="Times New Roman" w:hAnsi="Times New Roman" w:hint="default"/>
      </w:rPr>
    </w:lvl>
    <w:lvl w:ilvl="3" w:tplc="429E2CD4" w:tentative="1">
      <w:start w:val="1"/>
      <w:numFmt w:val="bullet"/>
      <w:lvlText w:val="•"/>
      <w:lvlJc w:val="left"/>
      <w:pPr>
        <w:tabs>
          <w:tab w:val="num" w:pos="2880"/>
        </w:tabs>
        <w:ind w:left="2880" w:hanging="360"/>
      </w:pPr>
      <w:rPr>
        <w:rFonts w:ascii="Times New Roman" w:hAnsi="Times New Roman" w:hint="default"/>
      </w:rPr>
    </w:lvl>
    <w:lvl w:ilvl="4" w:tplc="06CE6990" w:tentative="1">
      <w:start w:val="1"/>
      <w:numFmt w:val="bullet"/>
      <w:lvlText w:val="•"/>
      <w:lvlJc w:val="left"/>
      <w:pPr>
        <w:tabs>
          <w:tab w:val="num" w:pos="3600"/>
        </w:tabs>
        <w:ind w:left="3600" w:hanging="360"/>
      </w:pPr>
      <w:rPr>
        <w:rFonts w:ascii="Times New Roman" w:hAnsi="Times New Roman" w:hint="default"/>
      </w:rPr>
    </w:lvl>
    <w:lvl w:ilvl="5" w:tplc="1B2AA180" w:tentative="1">
      <w:start w:val="1"/>
      <w:numFmt w:val="bullet"/>
      <w:lvlText w:val="•"/>
      <w:lvlJc w:val="left"/>
      <w:pPr>
        <w:tabs>
          <w:tab w:val="num" w:pos="4320"/>
        </w:tabs>
        <w:ind w:left="4320" w:hanging="360"/>
      </w:pPr>
      <w:rPr>
        <w:rFonts w:ascii="Times New Roman" w:hAnsi="Times New Roman" w:hint="default"/>
      </w:rPr>
    </w:lvl>
    <w:lvl w:ilvl="6" w:tplc="5B7AE83C" w:tentative="1">
      <w:start w:val="1"/>
      <w:numFmt w:val="bullet"/>
      <w:lvlText w:val="•"/>
      <w:lvlJc w:val="left"/>
      <w:pPr>
        <w:tabs>
          <w:tab w:val="num" w:pos="5040"/>
        </w:tabs>
        <w:ind w:left="5040" w:hanging="360"/>
      </w:pPr>
      <w:rPr>
        <w:rFonts w:ascii="Times New Roman" w:hAnsi="Times New Roman" w:hint="default"/>
      </w:rPr>
    </w:lvl>
    <w:lvl w:ilvl="7" w:tplc="D58008EE" w:tentative="1">
      <w:start w:val="1"/>
      <w:numFmt w:val="bullet"/>
      <w:lvlText w:val="•"/>
      <w:lvlJc w:val="left"/>
      <w:pPr>
        <w:tabs>
          <w:tab w:val="num" w:pos="5760"/>
        </w:tabs>
        <w:ind w:left="5760" w:hanging="360"/>
      </w:pPr>
      <w:rPr>
        <w:rFonts w:ascii="Times New Roman" w:hAnsi="Times New Roman" w:hint="default"/>
      </w:rPr>
    </w:lvl>
    <w:lvl w:ilvl="8" w:tplc="F1722A4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26E3498"/>
    <w:multiLevelType w:val="hybridMultilevel"/>
    <w:tmpl w:val="F4CE2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9274C2"/>
    <w:multiLevelType w:val="hybridMultilevel"/>
    <w:tmpl w:val="6588A3A4"/>
    <w:lvl w:ilvl="0" w:tplc="1682BF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66BF8"/>
    <w:multiLevelType w:val="hybridMultilevel"/>
    <w:tmpl w:val="A6E891C2"/>
    <w:lvl w:ilvl="0" w:tplc="B09CFBF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0C1D4C"/>
    <w:multiLevelType w:val="hybridMultilevel"/>
    <w:tmpl w:val="427E3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2"/>
  </w:num>
  <w:num w:numId="4">
    <w:abstractNumId w:val="16"/>
  </w:num>
  <w:num w:numId="5">
    <w:abstractNumId w:val="14"/>
  </w:num>
  <w:num w:numId="6">
    <w:abstractNumId w:val="27"/>
  </w:num>
  <w:num w:numId="7">
    <w:abstractNumId w:val="15"/>
  </w:num>
  <w:num w:numId="8">
    <w:abstractNumId w:val="0"/>
  </w:num>
  <w:num w:numId="9">
    <w:abstractNumId w:val="6"/>
  </w:num>
  <w:num w:numId="10">
    <w:abstractNumId w:val="8"/>
  </w:num>
  <w:num w:numId="11">
    <w:abstractNumId w:val="1"/>
  </w:num>
  <w:num w:numId="12">
    <w:abstractNumId w:val="25"/>
  </w:num>
  <w:num w:numId="13">
    <w:abstractNumId w:val="31"/>
  </w:num>
  <w:num w:numId="14">
    <w:abstractNumId w:val="17"/>
  </w:num>
  <w:num w:numId="15">
    <w:abstractNumId w:val="10"/>
  </w:num>
  <w:num w:numId="16">
    <w:abstractNumId w:val="32"/>
  </w:num>
  <w:num w:numId="17">
    <w:abstractNumId w:val="30"/>
  </w:num>
  <w:num w:numId="18">
    <w:abstractNumId w:val="18"/>
  </w:num>
  <w:num w:numId="19">
    <w:abstractNumId w:val="20"/>
  </w:num>
  <w:num w:numId="20">
    <w:abstractNumId w:val="3"/>
  </w:num>
  <w:num w:numId="21">
    <w:abstractNumId w:val="7"/>
  </w:num>
  <w:num w:numId="22">
    <w:abstractNumId w:val="21"/>
  </w:num>
  <w:num w:numId="23">
    <w:abstractNumId w:val="23"/>
  </w:num>
  <w:num w:numId="24">
    <w:abstractNumId w:val="19"/>
  </w:num>
  <w:num w:numId="25">
    <w:abstractNumId w:val="13"/>
  </w:num>
  <w:num w:numId="26">
    <w:abstractNumId w:val="22"/>
  </w:num>
  <w:num w:numId="27">
    <w:abstractNumId w:val="4"/>
  </w:num>
  <w:num w:numId="28">
    <w:abstractNumId w:val="9"/>
  </w:num>
  <w:num w:numId="29">
    <w:abstractNumId w:val="2"/>
  </w:num>
  <w:num w:numId="30">
    <w:abstractNumId w:val="11"/>
  </w:num>
  <w:num w:numId="31">
    <w:abstractNumId w:val="29"/>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10"/>
    <w:rsid w:val="000013F0"/>
    <w:rsid w:val="000171AC"/>
    <w:rsid w:val="00023AD1"/>
    <w:rsid w:val="000327B2"/>
    <w:rsid w:val="000361EB"/>
    <w:rsid w:val="00037AB9"/>
    <w:rsid w:val="000412B5"/>
    <w:rsid w:val="000439DE"/>
    <w:rsid w:val="000502AF"/>
    <w:rsid w:val="0005136F"/>
    <w:rsid w:val="00054D31"/>
    <w:rsid w:val="0005723B"/>
    <w:rsid w:val="00070FE9"/>
    <w:rsid w:val="00071095"/>
    <w:rsid w:val="0007602F"/>
    <w:rsid w:val="00080068"/>
    <w:rsid w:val="000806C4"/>
    <w:rsid w:val="000921B8"/>
    <w:rsid w:val="00094222"/>
    <w:rsid w:val="00094F43"/>
    <w:rsid w:val="000955F9"/>
    <w:rsid w:val="000A350E"/>
    <w:rsid w:val="000A67D8"/>
    <w:rsid w:val="000A6993"/>
    <w:rsid w:val="000B45DD"/>
    <w:rsid w:val="000C6064"/>
    <w:rsid w:val="000D1F4D"/>
    <w:rsid w:val="000D3D5F"/>
    <w:rsid w:val="000D5A4C"/>
    <w:rsid w:val="000E5354"/>
    <w:rsid w:val="000F571B"/>
    <w:rsid w:val="00107AC9"/>
    <w:rsid w:val="00123F60"/>
    <w:rsid w:val="00125250"/>
    <w:rsid w:val="0012583B"/>
    <w:rsid w:val="001301D9"/>
    <w:rsid w:val="00132476"/>
    <w:rsid w:val="0013518F"/>
    <w:rsid w:val="001430AB"/>
    <w:rsid w:val="00160560"/>
    <w:rsid w:val="00184D4D"/>
    <w:rsid w:val="00184DBF"/>
    <w:rsid w:val="00187C64"/>
    <w:rsid w:val="001929E7"/>
    <w:rsid w:val="001A016B"/>
    <w:rsid w:val="001C6EE1"/>
    <w:rsid w:val="001C7094"/>
    <w:rsid w:val="001D4774"/>
    <w:rsid w:val="001D6C25"/>
    <w:rsid w:val="001D7777"/>
    <w:rsid w:val="001F3347"/>
    <w:rsid w:val="002005D6"/>
    <w:rsid w:val="0020298C"/>
    <w:rsid w:val="00213F06"/>
    <w:rsid w:val="00224C31"/>
    <w:rsid w:val="00225EFE"/>
    <w:rsid w:val="00236D12"/>
    <w:rsid w:val="00251337"/>
    <w:rsid w:val="00257705"/>
    <w:rsid w:val="002656C0"/>
    <w:rsid w:val="00271C18"/>
    <w:rsid w:val="0028396D"/>
    <w:rsid w:val="00286771"/>
    <w:rsid w:val="00290BBA"/>
    <w:rsid w:val="002931D1"/>
    <w:rsid w:val="002931E4"/>
    <w:rsid w:val="002B0FA7"/>
    <w:rsid w:val="002B1215"/>
    <w:rsid w:val="002B334F"/>
    <w:rsid w:val="002B4634"/>
    <w:rsid w:val="002B575C"/>
    <w:rsid w:val="002D112E"/>
    <w:rsid w:val="002E79F5"/>
    <w:rsid w:val="002F16FB"/>
    <w:rsid w:val="002F175B"/>
    <w:rsid w:val="002F3620"/>
    <w:rsid w:val="002F69C6"/>
    <w:rsid w:val="00304B03"/>
    <w:rsid w:val="003051EE"/>
    <w:rsid w:val="0030609D"/>
    <w:rsid w:val="00307EDF"/>
    <w:rsid w:val="00310124"/>
    <w:rsid w:val="00311B75"/>
    <w:rsid w:val="003121A8"/>
    <w:rsid w:val="00326BAD"/>
    <w:rsid w:val="003275E2"/>
    <w:rsid w:val="003315FD"/>
    <w:rsid w:val="00332F81"/>
    <w:rsid w:val="003341AF"/>
    <w:rsid w:val="00336C76"/>
    <w:rsid w:val="00351DC2"/>
    <w:rsid w:val="00355B48"/>
    <w:rsid w:val="00366420"/>
    <w:rsid w:val="00367041"/>
    <w:rsid w:val="00373B92"/>
    <w:rsid w:val="0037671B"/>
    <w:rsid w:val="00380063"/>
    <w:rsid w:val="00391646"/>
    <w:rsid w:val="003A34FE"/>
    <w:rsid w:val="003A5DA6"/>
    <w:rsid w:val="003B15C5"/>
    <w:rsid w:val="003B2D67"/>
    <w:rsid w:val="003B409A"/>
    <w:rsid w:val="003B4D11"/>
    <w:rsid w:val="003B540D"/>
    <w:rsid w:val="003B79ED"/>
    <w:rsid w:val="003C6125"/>
    <w:rsid w:val="003D6AE9"/>
    <w:rsid w:val="003D6C71"/>
    <w:rsid w:val="003E09D8"/>
    <w:rsid w:val="003E0AC6"/>
    <w:rsid w:val="003E1278"/>
    <w:rsid w:val="003E420B"/>
    <w:rsid w:val="003E4E15"/>
    <w:rsid w:val="003F208A"/>
    <w:rsid w:val="003F2829"/>
    <w:rsid w:val="003F32FC"/>
    <w:rsid w:val="0040483C"/>
    <w:rsid w:val="00416D9D"/>
    <w:rsid w:val="00424C73"/>
    <w:rsid w:val="00436FE4"/>
    <w:rsid w:val="00441246"/>
    <w:rsid w:val="00441337"/>
    <w:rsid w:val="004417C8"/>
    <w:rsid w:val="00445E8B"/>
    <w:rsid w:val="00446F57"/>
    <w:rsid w:val="004477B6"/>
    <w:rsid w:val="00453F3E"/>
    <w:rsid w:val="00454436"/>
    <w:rsid w:val="004620D1"/>
    <w:rsid w:val="00470CE6"/>
    <w:rsid w:val="00472A58"/>
    <w:rsid w:val="0047633E"/>
    <w:rsid w:val="00480250"/>
    <w:rsid w:val="00480F64"/>
    <w:rsid w:val="0048335B"/>
    <w:rsid w:val="00485B2B"/>
    <w:rsid w:val="004902D2"/>
    <w:rsid w:val="004947D6"/>
    <w:rsid w:val="00495ED3"/>
    <w:rsid w:val="00496743"/>
    <w:rsid w:val="00496E43"/>
    <w:rsid w:val="004A2476"/>
    <w:rsid w:val="004B218A"/>
    <w:rsid w:val="004B29F4"/>
    <w:rsid w:val="004B451B"/>
    <w:rsid w:val="004B5ADB"/>
    <w:rsid w:val="004E2546"/>
    <w:rsid w:val="004E6AF5"/>
    <w:rsid w:val="004F3843"/>
    <w:rsid w:val="004F6246"/>
    <w:rsid w:val="0050353A"/>
    <w:rsid w:val="00505214"/>
    <w:rsid w:val="00507DB8"/>
    <w:rsid w:val="005112AF"/>
    <w:rsid w:val="00511DC6"/>
    <w:rsid w:val="00515B71"/>
    <w:rsid w:val="00520579"/>
    <w:rsid w:val="00520DEE"/>
    <w:rsid w:val="005254E3"/>
    <w:rsid w:val="00540118"/>
    <w:rsid w:val="0054088C"/>
    <w:rsid w:val="00546E5C"/>
    <w:rsid w:val="00550197"/>
    <w:rsid w:val="00550522"/>
    <w:rsid w:val="00562812"/>
    <w:rsid w:val="00575CFD"/>
    <w:rsid w:val="005802C7"/>
    <w:rsid w:val="005811B0"/>
    <w:rsid w:val="00581DCB"/>
    <w:rsid w:val="005913EF"/>
    <w:rsid w:val="00595C5A"/>
    <w:rsid w:val="00597C27"/>
    <w:rsid w:val="005A113B"/>
    <w:rsid w:val="005A2B43"/>
    <w:rsid w:val="005A31EF"/>
    <w:rsid w:val="005B6BBC"/>
    <w:rsid w:val="005B7EFD"/>
    <w:rsid w:val="005C4F18"/>
    <w:rsid w:val="005C5DB6"/>
    <w:rsid w:val="005D5349"/>
    <w:rsid w:val="005D74A9"/>
    <w:rsid w:val="005F4D3A"/>
    <w:rsid w:val="005F7332"/>
    <w:rsid w:val="005F79EB"/>
    <w:rsid w:val="0061073D"/>
    <w:rsid w:val="00623B25"/>
    <w:rsid w:val="006240F1"/>
    <w:rsid w:val="00652342"/>
    <w:rsid w:val="00653B8A"/>
    <w:rsid w:val="006559A4"/>
    <w:rsid w:val="00656F48"/>
    <w:rsid w:val="00661181"/>
    <w:rsid w:val="006616A4"/>
    <w:rsid w:val="0066276C"/>
    <w:rsid w:val="006658E7"/>
    <w:rsid w:val="00665A42"/>
    <w:rsid w:val="00674737"/>
    <w:rsid w:val="006750C9"/>
    <w:rsid w:val="006819EA"/>
    <w:rsid w:val="00690BCF"/>
    <w:rsid w:val="0069597E"/>
    <w:rsid w:val="00696264"/>
    <w:rsid w:val="006A1299"/>
    <w:rsid w:val="006A6891"/>
    <w:rsid w:val="006A7CC2"/>
    <w:rsid w:val="006C283E"/>
    <w:rsid w:val="006D3E92"/>
    <w:rsid w:val="006E3310"/>
    <w:rsid w:val="006F3E43"/>
    <w:rsid w:val="006F7EBF"/>
    <w:rsid w:val="00714B22"/>
    <w:rsid w:val="007175C0"/>
    <w:rsid w:val="00724ECE"/>
    <w:rsid w:val="00733ED6"/>
    <w:rsid w:val="00734444"/>
    <w:rsid w:val="00740A90"/>
    <w:rsid w:val="00742061"/>
    <w:rsid w:val="00744E13"/>
    <w:rsid w:val="00745841"/>
    <w:rsid w:val="00753A47"/>
    <w:rsid w:val="00756AA2"/>
    <w:rsid w:val="00760D58"/>
    <w:rsid w:val="00765A7A"/>
    <w:rsid w:val="007671D0"/>
    <w:rsid w:val="00772226"/>
    <w:rsid w:val="007740A8"/>
    <w:rsid w:val="0078229F"/>
    <w:rsid w:val="0078421C"/>
    <w:rsid w:val="00785180"/>
    <w:rsid w:val="00785957"/>
    <w:rsid w:val="00786474"/>
    <w:rsid w:val="00787DD7"/>
    <w:rsid w:val="007967B5"/>
    <w:rsid w:val="007A2D23"/>
    <w:rsid w:val="007B15D0"/>
    <w:rsid w:val="007C0789"/>
    <w:rsid w:val="007C3509"/>
    <w:rsid w:val="007C359B"/>
    <w:rsid w:val="007C3BE1"/>
    <w:rsid w:val="007D42F2"/>
    <w:rsid w:val="007D5E64"/>
    <w:rsid w:val="007E4EAF"/>
    <w:rsid w:val="007F026C"/>
    <w:rsid w:val="007F2AE4"/>
    <w:rsid w:val="007F37A6"/>
    <w:rsid w:val="007F445B"/>
    <w:rsid w:val="007F7B34"/>
    <w:rsid w:val="00825D9D"/>
    <w:rsid w:val="00866A63"/>
    <w:rsid w:val="00867232"/>
    <w:rsid w:val="00871ACF"/>
    <w:rsid w:val="008742A1"/>
    <w:rsid w:val="008748D1"/>
    <w:rsid w:val="00876963"/>
    <w:rsid w:val="00885CDE"/>
    <w:rsid w:val="008867AE"/>
    <w:rsid w:val="0089077F"/>
    <w:rsid w:val="008918C0"/>
    <w:rsid w:val="008B55D1"/>
    <w:rsid w:val="008D0F7F"/>
    <w:rsid w:val="008D0F8D"/>
    <w:rsid w:val="008D14AE"/>
    <w:rsid w:val="008D24EB"/>
    <w:rsid w:val="008D42F1"/>
    <w:rsid w:val="008E18AC"/>
    <w:rsid w:val="008E5E81"/>
    <w:rsid w:val="008E6A7C"/>
    <w:rsid w:val="008F717E"/>
    <w:rsid w:val="00903885"/>
    <w:rsid w:val="00903B10"/>
    <w:rsid w:val="00903E49"/>
    <w:rsid w:val="00917138"/>
    <w:rsid w:val="00923697"/>
    <w:rsid w:val="009266CE"/>
    <w:rsid w:val="00945326"/>
    <w:rsid w:val="00945EC3"/>
    <w:rsid w:val="00957986"/>
    <w:rsid w:val="00963286"/>
    <w:rsid w:val="00971AFE"/>
    <w:rsid w:val="009764E2"/>
    <w:rsid w:val="0098035C"/>
    <w:rsid w:val="00980F4B"/>
    <w:rsid w:val="00981A43"/>
    <w:rsid w:val="009869A6"/>
    <w:rsid w:val="0099589F"/>
    <w:rsid w:val="00995B1F"/>
    <w:rsid w:val="009976ED"/>
    <w:rsid w:val="009A122D"/>
    <w:rsid w:val="009A2ACD"/>
    <w:rsid w:val="009A32DA"/>
    <w:rsid w:val="009A5687"/>
    <w:rsid w:val="009A6912"/>
    <w:rsid w:val="009B361F"/>
    <w:rsid w:val="009B4896"/>
    <w:rsid w:val="009B4A50"/>
    <w:rsid w:val="009C09B3"/>
    <w:rsid w:val="009C0AFB"/>
    <w:rsid w:val="009C3A7B"/>
    <w:rsid w:val="009C674A"/>
    <w:rsid w:val="009D6F58"/>
    <w:rsid w:val="009E405A"/>
    <w:rsid w:val="009E4F8E"/>
    <w:rsid w:val="009E7248"/>
    <w:rsid w:val="009F246A"/>
    <w:rsid w:val="009F5775"/>
    <w:rsid w:val="009F5D04"/>
    <w:rsid w:val="00A0057F"/>
    <w:rsid w:val="00A04C76"/>
    <w:rsid w:val="00A126F1"/>
    <w:rsid w:val="00A15613"/>
    <w:rsid w:val="00A2466A"/>
    <w:rsid w:val="00A25C7A"/>
    <w:rsid w:val="00A32C68"/>
    <w:rsid w:val="00A3682E"/>
    <w:rsid w:val="00A40B78"/>
    <w:rsid w:val="00A4349F"/>
    <w:rsid w:val="00A44BB3"/>
    <w:rsid w:val="00A45B2D"/>
    <w:rsid w:val="00A47532"/>
    <w:rsid w:val="00A5214F"/>
    <w:rsid w:val="00A5471D"/>
    <w:rsid w:val="00A56EC6"/>
    <w:rsid w:val="00A6378B"/>
    <w:rsid w:val="00A71D1B"/>
    <w:rsid w:val="00A72B35"/>
    <w:rsid w:val="00A76886"/>
    <w:rsid w:val="00A80849"/>
    <w:rsid w:val="00A81A72"/>
    <w:rsid w:val="00A85D55"/>
    <w:rsid w:val="00A92A11"/>
    <w:rsid w:val="00A9308F"/>
    <w:rsid w:val="00AA0064"/>
    <w:rsid w:val="00AA17F5"/>
    <w:rsid w:val="00AA200B"/>
    <w:rsid w:val="00AA5C82"/>
    <w:rsid w:val="00AA66C5"/>
    <w:rsid w:val="00AB475B"/>
    <w:rsid w:val="00AB558E"/>
    <w:rsid w:val="00AB6E83"/>
    <w:rsid w:val="00AC47B6"/>
    <w:rsid w:val="00AD606E"/>
    <w:rsid w:val="00B236B5"/>
    <w:rsid w:val="00B30F06"/>
    <w:rsid w:val="00B34EA0"/>
    <w:rsid w:val="00B46429"/>
    <w:rsid w:val="00B63407"/>
    <w:rsid w:val="00B65A6E"/>
    <w:rsid w:val="00B7302A"/>
    <w:rsid w:val="00B74BC7"/>
    <w:rsid w:val="00B76FB6"/>
    <w:rsid w:val="00B86C39"/>
    <w:rsid w:val="00B95EE0"/>
    <w:rsid w:val="00B96E2B"/>
    <w:rsid w:val="00B96F29"/>
    <w:rsid w:val="00B97AD9"/>
    <w:rsid w:val="00BA294D"/>
    <w:rsid w:val="00BA5EC1"/>
    <w:rsid w:val="00BA5EFA"/>
    <w:rsid w:val="00BA627B"/>
    <w:rsid w:val="00BB336E"/>
    <w:rsid w:val="00BB71D8"/>
    <w:rsid w:val="00BB7517"/>
    <w:rsid w:val="00BC0520"/>
    <w:rsid w:val="00BC49DE"/>
    <w:rsid w:val="00BD6D4C"/>
    <w:rsid w:val="00BE2BAB"/>
    <w:rsid w:val="00BE2E9F"/>
    <w:rsid w:val="00BE2FA5"/>
    <w:rsid w:val="00BE479F"/>
    <w:rsid w:val="00BE6171"/>
    <w:rsid w:val="00BF200E"/>
    <w:rsid w:val="00BF2B5E"/>
    <w:rsid w:val="00BF3CF0"/>
    <w:rsid w:val="00BF440E"/>
    <w:rsid w:val="00BF7D52"/>
    <w:rsid w:val="00C00E2C"/>
    <w:rsid w:val="00C12860"/>
    <w:rsid w:val="00C12A6B"/>
    <w:rsid w:val="00C146B3"/>
    <w:rsid w:val="00C159A0"/>
    <w:rsid w:val="00C47961"/>
    <w:rsid w:val="00C547B1"/>
    <w:rsid w:val="00C71F87"/>
    <w:rsid w:val="00C7553F"/>
    <w:rsid w:val="00C76E70"/>
    <w:rsid w:val="00C8062E"/>
    <w:rsid w:val="00C80B81"/>
    <w:rsid w:val="00C83BC6"/>
    <w:rsid w:val="00C845F1"/>
    <w:rsid w:val="00C94884"/>
    <w:rsid w:val="00C95FE8"/>
    <w:rsid w:val="00CC0F74"/>
    <w:rsid w:val="00CD2EB7"/>
    <w:rsid w:val="00CD5A0F"/>
    <w:rsid w:val="00CD6231"/>
    <w:rsid w:val="00CD7AEB"/>
    <w:rsid w:val="00CE13E8"/>
    <w:rsid w:val="00CE1D57"/>
    <w:rsid w:val="00CE2D2B"/>
    <w:rsid w:val="00CE502F"/>
    <w:rsid w:val="00CE5529"/>
    <w:rsid w:val="00D058D0"/>
    <w:rsid w:val="00D06124"/>
    <w:rsid w:val="00D1367D"/>
    <w:rsid w:val="00D3228E"/>
    <w:rsid w:val="00D33670"/>
    <w:rsid w:val="00D352EE"/>
    <w:rsid w:val="00D4016F"/>
    <w:rsid w:val="00D52A90"/>
    <w:rsid w:val="00D67572"/>
    <w:rsid w:val="00D77181"/>
    <w:rsid w:val="00D81A3E"/>
    <w:rsid w:val="00D8288A"/>
    <w:rsid w:val="00D87D9F"/>
    <w:rsid w:val="00D951D6"/>
    <w:rsid w:val="00D95237"/>
    <w:rsid w:val="00D96B87"/>
    <w:rsid w:val="00DA0628"/>
    <w:rsid w:val="00DA1482"/>
    <w:rsid w:val="00DB02EC"/>
    <w:rsid w:val="00DB7C2D"/>
    <w:rsid w:val="00DC5C2B"/>
    <w:rsid w:val="00DE0AF7"/>
    <w:rsid w:val="00DE52FD"/>
    <w:rsid w:val="00DE79D0"/>
    <w:rsid w:val="00DF5059"/>
    <w:rsid w:val="00DF532A"/>
    <w:rsid w:val="00E0346A"/>
    <w:rsid w:val="00E03F3B"/>
    <w:rsid w:val="00E05217"/>
    <w:rsid w:val="00E1382C"/>
    <w:rsid w:val="00E159C3"/>
    <w:rsid w:val="00E20572"/>
    <w:rsid w:val="00E26968"/>
    <w:rsid w:val="00E27BA1"/>
    <w:rsid w:val="00E36A4C"/>
    <w:rsid w:val="00E5014B"/>
    <w:rsid w:val="00E55670"/>
    <w:rsid w:val="00E622BC"/>
    <w:rsid w:val="00E6432E"/>
    <w:rsid w:val="00E654BE"/>
    <w:rsid w:val="00E665DA"/>
    <w:rsid w:val="00E701DF"/>
    <w:rsid w:val="00E80D8C"/>
    <w:rsid w:val="00E81F9E"/>
    <w:rsid w:val="00E910AB"/>
    <w:rsid w:val="00E93FD6"/>
    <w:rsid w:val="00E963FE"/>
    <w:rsid w:val="00E96F0D"/>
    <w:rsid w:val="00EA4BD2"/>
    <w:rsid w:val="00EC150A"/>
    <w:rsid w:val="00EC5528"/>
    <w:rsid w:val="00EC780F"/>
    <w:rsid w:val="00ED4990"/>
    <w:rsid w:val="00ED7882"/>
    <w:rsid w:val="00EE1F9E"/>
    <w:rsid w:val="00EE4190"/>
    <w:rsid w:val="00EF0A62"/>
    <w:rsid w:val="00EF1B8C"/>
    <w:rsid w:val="00F05410"/>
    <w:rsid w:val="00F13748"/>
    <w:rsid w:val="00F201C0"/>
    <w:rsid w:val="00F22860"/>
    <w:rsid w:val="00F26F5B"/>
    <w:rsid w:val="00F273E3"/>
    <w:rsid w:val="00F33EA1"/>
    <w:rsid w:val="00F420A2"/>
    <w:rsid w:val="00F562CF"/>
    <w:rsid w:val="00F6326E"/>
    <w:rsid w:val="00F70FA4"/>
    <w:rsid w:val="00F714DE"/>
    <w:rsid w:val="00F818E7"/>
    <w:rsid w:val="00F87183"/>
    <w:rsid w:val="00FB7705"/>
    <w:rsid w:val="00FC1C69"/>
    <w:rsid w:val="00FE4824"/>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4BCB4"/>
  <w15:chartTrackingRefBased/>
  <w15:docId w15:val="{853DEE48-5055-486B-ACFD-D36C3A39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062E"/>
    <w:pPr>
      <w:keepNext/>
      <w:keepLines/>
      <w:numPr>
        <w:numId w:val="14"/>
      </w:numPr>
      <w:spacing w:before="480" w:after="120" w:line="240" w:lineRule="auto"/>
      <w:outlineLvl w:val="0"/>
    </w:pPr>
    <w:rPr>
      <w:rFonts w:ascii="Times New Roman" w:eastAsiaTheme="majorEastAsia" w:hAnsi="Times New Roman" w:cstheme="majorBidi"/>
      <w:b/>
      <w:bCs/>
      <w:lang w:eastAsia="zh-CN"/>
    </w:rPr>
  </w:style>
  <w:style w:type="paragraph" w:styleId="Heading2">
    <w:name w:val="heading 2"/>
    <w:basedOn w:val="Normal"/>
    <w:next w:val="Normal"/>
    <w:link w:val="Heading2Char"/>
    <w:unhideWhenUsed/>
    <w:qFormat/>
    <w:rsid w:val="00C8062E"/>
    <w:pPr>
      <w:keepNext/>
      <w:keepLines/>
      <w:numPr>
        <w:ilvl w:val="1"/>
        <w:numId w:val="14"/>
      </w:numPr>
      <w:spacing w:before="200" w:after="120" w:line="240" w:lineRule="auto"/>
      <w:ind w:firstLine="720"/>
      <w:outlineLvl w:val="1"/>
    </w:pPr>
    <w:rPr>
      <w:rFonts w:ascii="Times New Roman" w:eastAsiaTheme="majorEastAsia" w:hAnsi="Times New Roman" w:cstheme="majorBidi"/>
      <w:bCs/>
      <w:i/>
      <w:lang w:eastAsia="zh-CN"/>
    </w:rPr>
  </w:style>
  <w:style w:type="paragraph" w:styleId="Heading3">
    <w:name w:val="heading 3"/>
    <w:basedOn w:val="Normal"/>
    <w:next w:val="Normal"/>
    <w:link w:val="Heading3Char"/>
    <w:uiPriority w:val="9"/>
    <w:semiHidden/>
    <w:unhideWhenUsed/>
    <w:qFormat/>
    <w:rsid w:val="00785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C7"/>
  </w:style>
  <w:style w:type="paragraph" w:styleId="Footer">
    <w:name w:val="footer"/>
    <w:basedOn w:val="Normal"/>
    <w:link w:val="FooterChar"/>
    <w:uiPriority w:val="99"/>
    <w:unhideWhenUsed/>
    <w:rsid w:val="00580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C7"/>
  </w:style>
  <w:style w:type="character" w:styleId="Hyperlink">
    <w:name w:val="Hyperlink"/>
    <w:basedOn w:val="DefaultParagraphFont"/>
    <w:uiPriority w:val="99"/>
    <w:unhideWhenUsed/>
    <w:rsid w:val="00A71D1B"/>
    <w:rPr>
      <w:color w:val="0563C1" w:themeColor="hyperlink"/>
      <w:u w:val="single"/>
    </w:rPr>
  </w:style>
  <w:style w:type="paragraph" w:styleId="BodyText">
    <w:name w:val="Body Text"/>
    <w:basedOn w:val="Normal"/>
    <w:link w:val="BodyTextChar"/>
    <w:uiPriority w:val="1"/>
    <w:qFormat/>
    <w:rsid w:val="00A71D1B"/>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71D1B"/>
    <w:rPr>
      <w:rFonts w:ascii="Times New Roman" w:eastAsia="Times New Roman" w:hAnsi="Times New Roman" w:cs="Times New Roman"/>
      <w:sz w:val="24"/>
      <w:szCs w:val="24"/>
      <w:lang w:bidi="en-US"/>
    </w:rPr>
  </w:style>
  <w:style w:type="paragraph" w:styleId="ListParagraph">
    <w:name w:val="List Paragraph"/>
    <w:basedOn w:val="Normal"/>
    <w:link w:val="ListParagraphChar"/>
    <w:uiPriority w:val="34"/>
    <w:qFormat/>
    <w:rsid w:val="00A71D1B"/>
    <w:pPr>
      <w:spacing w:after="0" w:line="240" w:lineRule="auto"/>
      <w:ind w:left="720"/>
      <w:contextualSpacing/>
    </w:pPr>
    <w:rPr>
      <w:rFonts w:ascii="Times New Roman" w:eastAsia="Times New Roman" w:hAnsi="Times New Roman" w:cs="Times New Roman"/>
      <w:sz w:val="24"/>
      <w:szCs w:val="24"/>
      <w:lang w:eastAsia="zh-CN"/>
    </w:rPr>
  </w:style>
  <w:style w:type="table" w:customStyle="1" w:styleId="TableGrid">
    <w:name w:val="TableGrid"/>
    <w:rsid w:val="002005D6"/>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5B7EFD"/>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2E79F5"/>
    <w:rPr>
      <w:sz w:val="16"/>
      <w:szCs w:val="16"/>
    </w:rPr>
  </w:style>
  <w:style w:type="paragraph" w:styleId="CommentText">
    <w:name w:val="annotation text"/>
    <w:basedOn w:val="Normal"/>
    <w:link w:val="CommentTextChar"/>
    <w:uiPriority w:val="99"/>
    <w:unhideWhenUsed/>
    <w:rsid w:val="002E79F5"/>
    <w:pPr>
      <w:spacing w:line="240" w:lineRule="auto"/>
    </w:pPr>
    <w:rPr>
      <w:sz w:val="20"/>
      <w:szCs w:val="20"/>
    </w:rPr>
  </w:style>
  <w:style w:type="character" w:customStyle="1" w:styleId="CommentTextChar">
    <w:name w:val="Comment Text Char"/>
    <w:basedOn w:val="DefaultParagraphFont"/>
    <w:link w:val="CommentText"/>
    <w:uiPriority w:val="99"/>
    <w:rsid w:val="002E79F5"/>
    <w:rPr>
      <w:sz w:val="20"/>
      <w:szCs w:val="20"/>
    </w:rPr>
  </w:style>
  <w:style w:type="paragraph" w:styleId="CommentSubject">
    <w:name w:val="annotation subject"/>
    <w:basedOn w:val="CommentText"/>
    <w:next w:val="CommentText"/>
    <w:link w:val="CommentSubjectChar"/>
    <w:uiPriority w:val="99"/>
    <w:semiHidden/>
    <w:unhideWhenUsed/>
    <w:rsid w:val="002E79F5"/>
    <w:rPr>
      <w:b/>
      <w:bCs/>
    </w:rPr>
  </w:style>
  <w:style w:type="character" w:customStyle="1" w:styleId="CommentSubjectChar">
    <w:name w:val="Comment Subject Char"/>
    <w:basedOn w:val="CommentTextChar"/>
    <w:link w:val="CommentSubject"/>
    <w:uiPriority w:val="99"/>
    <w:semiHidden/>
    <w:rsid w:val="002E79F5"/>
    <w:rPr>
      <w:b/>
      <w:bCs/>
      <w:sz w:val="20"/>
      <w:szCs w:val="20"/>
    </w:rPr>
  </w:style>
  <w:style w:type="paragraph" w:styleId="BalloonText">
    <w:name w:val="Balloon Text"/>
    <w:basedOn w:val="Normal"/>
    <w:link w:val="BalloonTextChar"/>
    <w:uiPriority w:val="99"/>
    <w:semiHidden/>
    <w:unhideWhenUsed/>
    <w:rsid w:val="00391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646"/>
    <w:rPr>
      <w:rFonts w:ascii="Segoe UI" w:hAnsi="Segoe UI" w:cs="Segoe UI"/>
      <w:sz w:val="18"/>
      <w:szCs w:val="18"/>
    </w:rPr>
  </w:style>
  <w:style w:type="table" w:styleId="TableGrid0">
    <w:name w:val="Table Grid"/>
    <w:basedOn w:val="TableNormal"/>
    <w:uiPriority w:val="39"/>
    <w:rsid w:val="006819E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0"/>
    <w:rsid w:val="006819EA"/>
    <w:pPr>
      <w:widowControl w:val="0"/>
      <w:tabs>
        <w:tab w:val="center" w:pos="4160"/>
        <w:tab w:val="right" w:pos="8300"/>
      </w:tabs>
      <w:spacing w:after="0" w:line="240" w:lineRule="auto"/>
      <w:jc w:val="both"/>
    </w:pPr>
    <w:rPr>
      <w:rFonts w:ascii="Times New Roman" w:eastAsiaTheme="minorEastAsia" w:hAnsi="Times New Roman" w:cs="Times New Roman"/>
      <w:kern w:val="2"/>
      <w:sz w:val="21"/>
      <w:lang w:eastAsia="zh-CN"/>
    </w:rPr>
  </w:style>
  <w:style w:type="character" w:customStyle="1" w:styleId="MTDisplayEquation0">
    <w:name w:val="MTDisplayEquation 字符"/>
    <w:basedOn w:val="DefaultParagraphFont"/>
    <w:link w:val="MTDisplayEquation"/>
    <w:rsid w:val="006819EA"/>
    <w:rPr>
      <w:rFonts w:ascii="Times New Roman" w:eastAsiaTheme="minorEastAsia" w:hAnsi="Times New Roman" w:cs="Times New Roman"/>
      <w:kern w:val="2"/>
      <w:sz w:val="21"/>
      <w:lang w:eastAsia="zh-CN"/>
    </w:rPr>
  </w:style>
  <w:style w:type="character" w:customStyle="1" w:styleId="Heading1Char">
    <w:name w:val="Heading 1 Char"/>
    <w:basedOn w:val="DefaultParagraphFont"/>
    <w:link w:val="Heading1"/>
    <w:uiPriority w:val="9"/>
    <w:rsid w:val="00C8062E"/>
    <w:rPr>
      <w:rFonts w:ascii="Times New Roman" w:eastAsiaTheme="majorEastAsia" w:hAnsi="Times New Roman" w:cstheme="majorBidi"/>
      <w:b/>
      <w:bCs/>
      <w:lang w:eastAsia="zh-CN"/>
    </w:rPr>
  </w:style>
  <w:style w:type="character" w:customStyle="1" w:styleId="Heading2Char">
    <w:name w:val="Heading 2 Char"/>
    <w:basedOn w:val="DefaultParagraphFont"/>
    <w:link w:val="Heading2"/>
    <w:rsid w:val="00C8062E"/>
    <w:rPr>
      <w:rFonts w:ascii="Times New Roman" w:eastAsiaTheme="majorEastAsia" w:hAnsi="Times New Roman" w:cstheme="majorBidi"/>
      <w:bCs/>
      <w:i/>
      <w:lang w:eastAsia="zh-CN"/>
    </w:rPr>
  </w:style>
  <w:style w:type="paragraph" w:customStyle="1" w:styleId="Content">
    <w:name w:val="Content"/>
    <w:basedOn w:val="Normal"/>
    <w:link w:val="ContentChar"/>
    <w:qFormat/>
    <w:rsid w:val="00C8062E"/>
    <w:pPr>
      <w:spacing w:after="120" w:line="240" w:lineRule="auto"/>
      <w:ind w:firstLine="360"/>
      <w:jc w:val="both"/>
    </w:pPr>
    <w:rPr>
      <w:rFonts w:ascii="Times New Roman" w:eastAsiaTheme="minorEastAsia" w:hAnsi="Times New Roman"/>
      <w:szCs w:val="24"/>
      <w:lang w:eastAsia="zh-CN"/>
    </w:rPr>
  </w:style>
  <w:style w:type="character" w:customStyle="1" w:styleId="ContentChar">
    <w:name w:val="Content Char"/>
    <w:basedOn w:val="DefaultParagraphFont"/>
    <w:link w:val="Content"/>
    <w:rsid w:val="00C8062E"/>
    <w:rPr>
      <w:rFonts w:ascii="Times New Roman" w:eastAsiaTheme="minorEastAsia" w:hAnsi="Times New Roman"/>
      <w:szCs w:val="24"/>
      <w:lang w:eastAsia="zh-CN"/>
    </w:rPr>
  </w:style>
  <w:style w:type="paragraph" w:styleId="NoSpacing">
    <w:name w:val="No Spacing"/>
    <w:basedOn w:val="Content"/>
    <w:uiPriority w:val="1"/>
    <w:qFormat/>
    <w:rsid w:val="00C8062E"/>
    <w:pPr>
      <w:spacing w:after="0"/>
      <w:ind w:firstLine="0"/>
      <w:jc w:val="center"/>
    </w:pPr>
  </w:style>
  <w:style w:type="paragraph" w:styleId="Caption">
    <w:name w:val="caption"/>
    <w:basedOn w:val="Normal"/>
    <w:next w:val="Normal"/>
    <w:uiPriority w:val="35"/>
    <w:unhideWhenUsed/>
    <w:qFormat/>
    <w:rsid w:val="005A31EF"/>
    <w:pPr>
      <w:spacing w:before="120" w:after="120" w:line="257" w:lineRule="auto"/>
      <w:jc w:val="center"/>
    </w:pPr>
    <w:rPr>
      <w:rFonts w:ascii="Times New Roman" w:hAnsi="Times New Roman"/>
      <w:i/>
      <w:iCs/>
      <w:sz w:val="24"/>
      <w:szCs w:val="18"/>
    </w:rPr>
  </w:style>
  <w:style w:type="paragraph" w:styleId="Revision">
    <w:name w:val="Revision"/>
    <w:hidden/>
    <w:uiPriority w:val="99"/>
    <w:semiHidden/>
    <w:rsid w:val="00F33EA1"/>
    <w:pPr>
      <w:spacing w:after="0" w:line="240" w:lineRule="auto"/>
    </w:pPr>
  </w:style>
  <w:style w:type="character" w:customStyle="1" w:styleId="fontstyle01">
    <w:name w:val="fontstyle01"/>
    <w:basedOn w:val="DefaultParagraphFont"/>
    <w:rsid w:val="004B29F4"/>
    <w:rPr>
      <w:rFonts w:ascii="TeXGyreTermesX-Italic" w:hAnsi="TeXGyreTermesX-Italic" w:hint="default"/>
      <w:b w:val="0"/>
      <w:bCs w:val="0"/>
      <w:i/>
      <w:iCs/>
      <w:color w:val="000000"/>
      <w:sz w:val="22"/>
      <w:szCs w:val="22"/>
    </w:rPr>
  </w:style>
  <w:style w:type="character" w:customStyle="1" w:styleId="MTDisplayEquationChar">
    <w:name w:val="MTDisplayEquation Char"/>
    <w:basedOn w:val="DefaultParagraphFont"/>
    <w:rsid w:val="00453F3E"/>
    <w:rPr>
      <w:rFonts w:ascii="Times New Roman" w:hAnsi="Times New Roman" w:cs="Times New Roman"/>
      <w:sz w:val="24"/>
      <w:szCs w:val="24"/>
    </w:rPr>
  </w:style>
  <w:style w:type="paragraph" w:styleId="NormalWeb">
    <w:name w:val="Normal (Web)"/>
    <w:basedOn w:val="Normal"/>
    <w:uiPriority w:val="99"/>
    <w:semiHidden/>
    <w:unhideWhenUsed/>
    <w:rsid w:val="004947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semiHidden/>
    <w:rsid w:val="00785957"/>
    <w:rPr>
      <w:rFonts w:asciiTheme="majorHAnsi" w:eastAsiaTheme="majorEastAsia" w:hAnsiTheme="majorHAnsi" w:cstheme="majorBidi"/>
      <w:color w:val="1F3763" w:themeColor="accent1" w:themeShade="7F"/>
      <w:sz w:val="24"/>
      <w:szCs w:val="24"/>
    </w:rPr>
  </w:style>
  <w:style w:type="paragraph" w:customStyle="1" w:styleId="Default">
    <w:name w:val="Default"/>
    <w:rsid w:val="000412B5"/>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577808">
      <w:bodyDiv w:val="1"/>
      <w:marLeft w:val="0"/>
      <w:marRight w:val="0"/>
      <w:marTop w:val="0"/>
      <w:marBottom w:val="0"/>
      <w:divBdr>
        <w:top w:val="none" w:sz="0" w:space="0" w:color="auto"/>
        <w:left w:val="none" w:sz="0" w:space="0" w:color="auto"/>
        <w:bottom w:val="none" w:sz="0" w:space="0" w:color="auto"/>
        <w:right w:val="none" w:sz="0" w:space="0" w:color="auto"/>
      </w:divBdr>
      <w:divsChild>
        <w:div w:id="747116810">
          <w:marLeft w:val="547"/>
          <w:marRight w:val="0"/>
          <w:marTop w:val="106"/>
          <w:marBottom w:val="0"/>
          <w:divBdr>
            <w:top w:val="none" w:sz="0" w:space="0" w:color="auto"/>
            <w:left w:val="none" w:sz="0" w:space="0" w:color="auto"/>
            <w:bottom w:val="none" w:sz="0" w:space="0" w:color="auto"/>
            <w:right w:val="none" w:sz="0" w:space="0" w:color="auto"/>
          </w:divBdr>
        </w:div>
      </w:divsChild>
    </w:div>
    <w:div w:id="812719391">
      <w:bodyDiv w:val="1"/>
      <w:marLeft w:val="0"/>
      <w:marRight w:val="0"/>
      <w:marTop w:val="0"/>
      <w:marBottom w:val="0"/>
      <w:divBdr>
        <w:top w:val="none" w:sz="0" w:space="0" w:color="auto"/>
        <w:left w:val="none" w:sz="0" w:space="0" w:color="auto"/>
        <w:bottom w:val="none" w:sz="0" w:space="0" w:color="auto"/>
        <w:right w:val="none" w:sz="0" w:space="0" w:color="auto"/>
      </w:divBdr>
    </w:div>
    <w:div w:id="1336882892">
      <w:bodyDiv w:val="1"/>
      <w:marLeft w:val="0"/>
      <w:marRight w:val="0"/>
      <w:marTop w:val="0"/>
      <w:marBottom w:val="0"/>
      <w:divBdr>
        <w:top w:val="none" w:sz="0" w:space="0" w:color="auto"/>
        <w:left w:val="none" w:sz="0" w:space="0" w:color="auto"/>
        <w:bottom w:val="none" w:sz="0" w:space="0" w:color="auto"/>
        <w:right w:val="none" w:sz="0" w:space="0" w:color="auto"/>
      </w:divBdr>
    </w:div>
    <w:div w:id="14892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xxsss\Desktop\paper%20simulation\data%20from%20pap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xxsss\Desktop\paper%20simulation\data%20from%20pap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xxsss\Desktop\paper%20simulation\data%20from%20pap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xxsss\Desktop\paper%20simulation\data%20from%20pape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12292213473317"/>
          <c:y val="4.784688995215311E-2"/>
          <c:w val="0.64758552055993002"/>
          <c:h val="0.82198545755943186"/>
        </c:manualLayout>
      </c:layout>
      <c:scatterChart>
        <c:scatterStyle val="smoothMarker"/>
        <c:varyColors val="0"/>
        <c:ser>
          <c:idx val="0"/>
          <c:order val="0"/>
          <c:tx>
            <c:v>Sand</c:v>
          </c:tx>
          <c:spPr>
            <a:ln w="19050" cap="rnd">
              <a:solidFill>
                <a:schemeClr val="accent1"/>
              </a:solidFill>
              <a:round/>
            </a:ln>
            <a:effectLst/>
          </c:spPr>
          <c:marker>
            <c:symbol val="none"/>
          </c:marker>
          <c:xVal>
            <c:numRef>
              <c:f>'diffusion coeffecient'!$B$2:$B$57</c:f>
              <c:numCache>
                <c:formatCode>General</c:formatCode>
                <c:ptCount val="56"/>
                <c:pt idx="0">
                  <c:v>6.4704372379567601E-3</c:v>
                </c:pt>
                <c:pt idx="1">
                  <c:v>3.8725079147770999E-2</c:v>
                </c:pt>
                <c:pt idx="2">
                  <c:v>6.7642679900744407E-2</c:v>
                </c:pt>
                <c:pt idx="3">
                  <c:v>9.3224950800034206E-2</c:v>
                </c:pt>
                <c:pt idx="4">
                  <c:v>0.122142551553007</c:v>
                </c:pt>
                <c:pt idx="5">
                  <c:v>0.146610764096859</c:v>
                </c:pt>
                <c:pt idx="6">
                  <c:v>0.173303670745272</c:v>
                </c:pt>
                <c:pt idx="7">
                  <c:v>0.197773594592282</c:v>
                </c:pt>
                <c:pt idx="8">
                  <c:v>0.225578848292975</c:v>
                </c:pt>
                <c:pt idx="9">
                  <c:v>0.25449644904594798</c:v>
                </c:pt>
                <c:pt idx="10">
                  <c:v>0.28118935569436099</c:v>
                </c:pt>
                <c:pt idx="11">
                  <c:v>0.313442286301018</c:v>
                </c:pt>
                <c:pt idx="12">
                  <c:v>0.34235817575083399</c:v>
                </c:pt>
                <c:pt idx="13">
                  <c:v>0.37016171814837001</c:v>
                </c:pt>
                <c:pt idx="14">
                  <c:v>0.39684949088730997</c:v>
                </c:pt>
                <c:pt idx="15">
                  <c:v>0.42353726362625099</c:v>
                </c:pt>
                <c:pt idx="16">
                  <c:v>0.45244630786343798</c:v>
                </c:pt>
                <c:pt idx="17">
                  <c:v>0.47913236929922098</c:v>
                </c:pt>
                <c:pt idx="18">
                  <c:v>0.50359202532728597</c:v>
                </c:pt>
                <c:pt idx="19">
                  <c:v>0.52471292889535304</c:v>
                </c:pt>
                <c:pt idx="20">
                  <c:v>0.54360913835886004</c:v>
                </c:pt>
                <c:pt idx="21">
                  <c:v>0.56250705912552401</c:v>
                </c:pt>
                <c:pt idx="22">
                  <c:v>0.58028921023359203</c:v>
                </c:pt>
                <c:pt idx="23">
                  <c:v>0.59918199709078401</c:v>
                </c:pt>
                <c:pt idx="24">
                  <c:v>0.613625395738855</c:v>
                </c:pt>
                <c:pt idx="25">
                  <c:v>0.63029177718832896</c:v>
                </c:pt>
                <c:pt idx="26">
                  <c:v>0.64584410028236405</c:v>
                </c:pt>
                <c:pt idx="27">
                  <c:v>0.66028407632412001</c:v>
                </c:pt>
                <c:pt idx="28">
                  <c:v>0.67472405236587596</c:v>
                </c:pt>
                <c:pt idx="29">
                  <c:v>0.69027295285359802</c:v>
                </c:pt>
                <c:pt idx="30">
                  <c:v>0.70248823479079303</c:v>
                </c:pt>
                <c:pt idx="31">
                  <c:v>0.71581586378026796</c:v>
                </c:pt>
                <c:pt idx="32">
                  <c:v>0.72913835886027201</c:v>
                </c:pt>
                <c:pt idx="33">
                  <c:v>0.74246085394027495</c:v>
                </c:pt>
                <c:pt idx="34">
                  <c:v>0.75467271327115604</c:v>
                </c:pt>
                <c:pt idx="35">
                  <c:v>0.76799349704800202</c:v>
                </c:pt>
                <c:pt idx="36">
                  <c:v>0.77797723966800703</c:v>
                </c:pt>
                <c:pt idx="37">
                  <c:v>0.78796611619748402</c:v>
                </c:pt>
                <c:pt idx="38">
                  <c:v>0.79906562847608398</c:v>
                </c:pt>
                <c:pt idx="39">
                  <c:v>0.80905621630871805</c:v>
                </c:pt>
                <c:pt idx="40">
                  <c:v>0.81904338153503797</c:v>
                </c:pt>
                <c:pt idx="41">
                  <c:v>0.82903225806451597</c:v>
                </c:pt>
                <c:pt idx="42">
                  <c:v>0.83791049884487001</c:v>
                </c:pt>
                <c:pt idx="43">
                  <c:v>0.84789595276803298</c:v>
                </c:pt>
                <c:pt idx="44">
                  <c:v>0.85899375374347497</c:v>
                </c:pt>
                <c:pt idx="45">
                  <c:v>0.87009326602207504</c:v>
                </c:pt>
                <c:pt idx="46">
                  <c:v>0.87896979549927201</c:v>
                </c:pt>
                <c:pt idx="47">
                  <c:v>0.88673397792418895</c:v>
                </c:pt>
                <c:pt idx="48">
                  <c:v>0.89894241464875502</c:v>
                </c:pt>
                <c:pt idx="49">
                  <c:v>0.90781552151963696</c:v>
                </c:pt>
                <c:pt idx="50">
                  <c:v>0.91891674510139398</c:v>
                </c:pt>
                <c:pt idx="51">
                  <c:v>0.92890391032771402</c:v>
                </c:pt>
                <c:pt idx="52">
                  <c:v>0.94</c:v>
                </c:pt>
                <c:pt idx="53">
                  <c:v>0.94887652947719703</c:v>
                </c:pt>
                <c:pt idx="54">
                  <c:v>0.957753058954393</c:v>
                </c:pt>
                <c:pt idx="55">
                  <c:v>0.966633011037905</c:v>
                </c:pt>
              </c:numCache>
            </c:numRef>
          </c:xVal>
          <c:yVal>
            <c:numRef>
              <c:f>'diffusion coeffecient'!$C$2:$C$57</c:f>
              <c:numCache>
                <c:formatCode>General</c:formatCode>
                <c:ptCount val="56"/>
                <c:pt idx="0">
                  <c:v>1.2151094113758799E-6</c:v>
                </c:pt>
                <c:pt idx="1">
                  <c:v>1.17281839557915E-6</c:v>
                </c:pt>
                <c:pt idx="2">
                  <c:v>1.13199928840263E-6</c:v>
                </c:pt>
                <c:pt idx="3">
                  <c:v>1.11212562118358E-6</c:v>
                </c:pt>
                <c:pt idx="4">
                  <c:v>1.0734188827013499E-6</c:v>
                </c:pt>
                <c:pt idx="5">
                  <c:v>1.0360593046256301E-6</c:v>
                </c:pt>
                <c:pt idx="6" formatCode="0.00E+00">
                  <c:v>9.9999999999999805E-7</c:v>
                </c:pt>
                <c:pt idx="7" formatCode="0.00E+00">
                  <c:v>9.8244374583742196E-7</c:v>
                </c:pt>
                <c:pt idx="8" formatCode="0.00E+00">
                  <c:v>9.4825049246810701E-7</c:v>
                </c:pt>
                <c:pt idx="9" formatCode="0.00E+00">
                  <c:v>9.1524731087738704E-7</c:v>
                </c:pt>
                <c:pt idx="10" formatCode="0.00E+00">
                  <c:v>8.8339278146640403E-7</c:v>
                </c:pt>
                <c:pt idx="11" formatCode="0.00E+00">
                  <c:v>8.3767764006828995E-7</c:v>
                </c:pt>
                <c:pt idx="12" formatCode="0.00E+00">
                  <c:v>7.9432823472427997E-7</c:v>
                </c:pt>
                <c:pt idx="13" formatCode="0.00E+00">
                  <c:v>7.5322213975862303E-7</c:v>
                </c:pt>
                <c:pt idx="14" formatCode="0.00E+00">
                  <c:v>6.8938453790739298E-7</c:v>
                </c:pt>
                <c:pt idx="15" formatCode="0.00E+00">
                  <c:v>6.3095734448019095E-7</c:v>
                </c:pt>
                <c:pt idx="16" formatCode="0.00E+00">
                  <c:v>5.5738316352701296E-7</c:v>
                </c:pt>
                <c:pt idx="17" formatCode="0.00E+00">
                  <c:v>5.0118723362727101E-7</c:v>
                </c:pt>
                <c:pt idx="18" formatCode="0.00E+00">
                  <c:v>4.4274518434944801E-7</c:v>
                </c:pt>
                <c:pt idx="19" formatCode="0.00E+00">
                  <c:v>3.8425133462543101E-7</c:v>
                </c:pt>
                <c:pt idx="20" formatCode="0.00E+00">
                  <c:v>3.33485475123518E-7</c:v>
                </c:pt>
                <c:pt idx="21" formatCode="0.00E+00">
                  <c:v>2.9459866144800998E-7</c:v>
                </c:pt>
                <c:pt idx="22" formatCode="0.00E+00">
                  <c:v>2.5118864315095701E-7</c:v>
                </c:pt>
                <c:pt idx="23" formatCode="0.00E+00">
                  <c:v>2.1041510980665001E-7</c:v>
                </c:pt>
                <c:pt idx="24" formatCode="0.00E+00">
                  <c:v>1.7626003261754499E-7</c:v>
                </c:pt>
                <c:pt idx="25" formatCode="0.00E+00">
                  <c:v>1.4505692324279099E-7</c:v>
                </c:pt>
                <c:pt idx="26" formatCode="0.00E+00">
                  <c:v>1.17281839557915E-7</c:v>
                </c:pt>
                <c:pt idx="27" formatCode="0.00E+00">
                  <c:v>9.4825049246810706E-8</c:v>
                </c:pt>
                <c:pt idx="28" formatCode="0.00E+00">
                  <c:v>7.6668220745461997E-8</c:v>
                </c:pt>
                <c:pt idx="29" formatCode="0.00E+00">
                  <c:v>5.9830561262971196E-8</c:v>
                </c:pt>
                <c:pt idx="30" formatCode="0.00E+00">
                  <c:v>4.83743769675779E-8</c:v>
                </c:pt>
                <c:pt idx="31" formatCode="0.00E+00">
                  <c:v>3.9111789988331597E-8</c:v>
                </c:pt>
                <c:pt idx="32" formatCode="0.00E+00">
                  <c:v>2.9986313485755599E-8</c:v>
                </c:pt>
                <c:pt idx="33" formatCode="0.00E+00">
                  <c:v>2.2989973016685402E-8</c:v>
                </c:pt>
                <c:pt idx="34" formatCode="0.00E+00">
                  <c:v>1.7940979660601599E-8</c:v>
                </c:pt>
                <c:pt idx="35" formatCode="0.00E+00">
                  <c:v>1.3513543089324301E-8</c:v>
                </c:pt>
                <c:pt idx="36" formatCode="0.00E+00">
                  <c:v>1.0178699841461201E-8</c:v>
                </c:pt>
                <c:pt idx="37" formatCode="0.00E+00">
                  <c:v>8.0852286768562502E-9</c:v>
                </c:pt>
                <c:pt idx="38" formatCode="0.00E+00">
                  <c:v>6.3095734448019098E-9</c:v>
                </c:pt>
                <c:pt idx="39" formatCode="0.00E+00">
                  <c:v>5.1014344154643103E-9</c:v>
                </c:pt>
                <c:pt idx="40" formatCode="0.00E+00">
                  <c:v>3.9810717055349599E-9</c:v>
                </c:pt>
                <c:pt idx="41" formatCode="0.00E+00">
                  <c:v>3.16227766016837E-9</c:v>
                </c:pt>
                <c:pt idx="42" formatCode="0.00E+00">
                  <c:v>2.5567738022175199E-9</c:v>
                </c:pt>
                <c:pt idx="43" formatCode="0.00E+00">
                  <c:v>1.9602329826462699E-9</c:v>
                </c:pt>
                <c:pt idx="44" formatCode="0.00E+00">
                  <c:v>1.5028757502605999E-9</c:v>
                </c:pt>
                <c:pt idx="45" formatCode="0.00E+00">
                  <c:v>1.17281839557915E-9</c:v>
                </c:pt>
                <c:pt idx="46" formatCode="0.00E+00">
                  <c:v>9.316027658125519E-10</c:v>
                </c:pt>
                <c:pt idx="47" formatCode="0.00E+00">
                  <c:v>7.3999838043213999E-10</c:v>
                </c:pt>
                <c:pt idx="48" formatCode="0.00E+00">
                  <c:v>5.5738316352701304E-10</c:v>
                </c:pt>
                <c:pt idx="49" formatCode="0.00E+00">
                  <c:v>4.2733575421093102E-10</c:v>
                </c:pt>
                <c:pt idx="50" formatCode="0.00E+00">
                  <c:v>3.3944485527693799E-10</c:v>
                </c:pt>
                <c:pt idx="51" formatCode="0.00E+00">
                  <c:v>2.6489692876105199E-10</c:v>
                </c:pt>
                <c:pt idx="52" formatCode="0.00E+00">
                  <c:v>1.99526231496888E-10</c:v>
                </c:pt>
                <c:pt idx="53" formatCode="0.00E+00">
                  <c:v>1.5848931924611101E-10</c:v>
                </c:pt>
                <c:pt idx="54" formatCode="0.00E+00">
                  <c:v>1.25892541179416E-10</c:v>
                </c:pt>
                <c:pt idx="55" formatCode="0.00E+00">
                  <c:v>1.03605930462563E-10</c:v>
                </c:pt>
              </c:numCache>
            </c:numRef>
          </c:yVal>
          <c:smooth val="1"/>
          <c:extLst>
            <c:ext xmlns:c16="http://schemas.microsoft.com/office/drawing/2014/chart" uri="{C3380CC4-5D6E-409C-BE32-E72D297353CC}">
              <c16:uniqueId val="{00000000-F1EF-4BDD-9D17-91C12DB554DF}"/>
            </c:ext>
          </c:extLst>
        </c:ser>
        <c:ser>
          <c:idx val="1"/>
          <c:order val="1"/>
          <c:tx>
            <c:v>Silt</c:v>
          </c:tx>
          <c:spPr>
            <a:ln w="19050" cap="rnd">
              <a:solidFill>
                <a:schemeClr val="accent2"/>
              </a:solidFill>
              <a:round/>
            </a:ln>
            <a:effectLst/>
          </c:spPr>
          <c:marker>
            <c:symbol val="none"/>
          </c:marker>
          <c:xVal>
            <c:numRef>
              <c:f>'diffusion coeffecient'!$F$2:$F$59</c:f>
              <c:numCache>
                <c:formatCode>General</c:formatCode>
                <c:ptCount val="58"/>
                <c:pt idx="0">
                  <c:v>6.4653033284847103E-3</c:v>
                </c:pt>
                <c:pt idx="1">
                  <c:v>3.2047574227774399E-2</c:v>
                </c:pt>
                <c:pt idx="2">
                  <c:v>5.4294515273380597E-2</c:v>
                </c:pt>
                <c:pt idx="3">
                  <c:v>7.65414563189869E-2</c:v>
                </c:pt>
                <c:pt idx="4">
                  <c:v>0.10101138016599601</c:v>
                </c:pt>
                <c:pt idx="5">
                  <c:v>0.124370668263882</c:v>
                </c:pt>
                <c:pt idx="6">
                  <c:v>0.148842303414049</c:v>
                </c:pt>
                <c:pt idx="7">
                  <c:v>0.17108924445965601</c:v>
                </c:pt>
                <c:pt idx="8">
                  <c:v>0.188886797296141</c:v>
                </c:pt>
                <c:pt idx="9">
                  <c:v>0.21113373834174701</c:v>
                </c:pt>
                <c:pt idx="10">
                  <c:v>0.22893129117823199</c:v>
                </c:pt>
                <c:pt idx="11">
                  <c:v>0.24784119106699701</c:v>
                </c:pt>
                <c:pt idx="12">
                  <c:v>0.26563703260032501</c:v>
                </c:pt>
                <c:pt idx="13">
                  <c:v>0.28788226234277398</c:v>
                </c:pt>
                <c:pt idx="14">
                  <c:v>0.30790108667750399</c:v>
                </c:pt>
                <c:pt idx="15">
                  <c:v>0.32792162231539301</c:v>
                </c:pt>
                <c:pt idx="16">
                  <c:v>0.346828099597843</c:v>
                </c:pt>
                <c:pt idx="17">
                  <c:v>0.36795584837854001</c:v>
                </c:pt>
                <c:pt idx="18">
                  <c:v>0.387972961410113</c:v>
                </c:pt>
                <c:pt idx="19">
                  <c:v>0.412439462650808</c:v>
                </c:pt>
                <c:pt idx="20">
                  <c:v>0.43245315307606702</c:v>
                </c:pt>
                <c:pt idx="21">
                  <c:v>0.44801916659536201</c:v>
                </c:pt>
                <c:pt idx="22">
                  <c:v>0.469145204072901</c:v>
                </c:pt>
                <c:pt idx="23">
                  <c:v>0.49138187729956301</c:v>
                </c:pt>
                <c:pt idx="24">
                  <c:v>0.51473089757850599</c:v>
                </c:pt>
                <c:pt idx="25">
                  <c:v>0.53362881834516895</c:v>
                </c:pt>
                <c:pt idx="26">
                  <c:v>0.55697099341148304</c:v>
                </c:pt>
                <c:pt idx="27">
                  <c:v>0.58254128518867099</c:v>
                </c:pt>
                <c:pt idx="28">
                  <c:v>0.60255155300761498</c:v>
                </c:pt>
                <c:pt idx="29">
                  <c:v>0.62144605116796403</c:v>
                </c:pt>
                <c:pt idx="30">
                  <c:v>0.64367759048515405</c:v>
                </c:pt>
                <c:pt idx="31">
                  <c:v>0.66367930178831103</c:v>
                </c:pt>
                <c:pt idx="32">
                  <c:v>0.68257208864550301</c:v>
                </c:pt>
                <c:pt idx="33">
                  <c:v>0.70034739454094197</c:v>
                </c:pt>
                <c:pt idx="34">
                  <c:v>0.72035252845041498</c:v>
                </c:pt>
                <c:pt idx="35">
                  <c:v>0.733685291349362</c:v>
                </c:pt>
                <c:pt idx="36">
                  <c:v>0.745905707196029</c:v>
                </c:pt>
                <c:pt idx="37">
                  <c:v>0.76034397193462799</c:v>
                </c:pt>
                <c:pt idx="38">
                  <c:v>0.77478565927954102</c:v>
                </c:pt>
                <c:pt idx="39">
                  <c:v>0.78700265251989299</c:v>
                </c:pt>
                <c:pt idx="40">
                  <c:v>0.80033370411568405</c:v>
                </c:pt>
                <c:pt idx="41">
                  <c:v>0.811438350303756</c:v>
                </c:pt>
                <c:pt idx="42">
                  <c:v>0.82476426799007396</c:v>
                </c:pt>
                <c:pt idx="43">
                  <c:v>0.83920424403183003</c:v>
                </c:pt>
                <c:pt idx="44">
                  <c:v>0.85141610336271001</c:v>
                </c:pt>
                <c:pt idx="45">
                  <c:v>0.86363309660306298</c:v>
                </c:pt>
                <c:pt idx="46">
                  <c:v>0.87585008984341495</c:v>
                </c:pt>
                <c:pt idx="47">
                  <c:v>0.88584067767605001</c:v>
                </c:pt>
                <c:pt idx="48">
                  <c:v>0.89695045777359395</c:v>
                </c:pt>
                <c:pt idx="49">
                  <c:v>0.912504492170788</c:v>
                </c:pt>
                <c:pt idx="50">
                  <c:v>0.92360571575254502</c:v>
                </c:pt>
                <c:pt idx="51">
                  <c:v>0.93582442029605495</c:v>
                </c:pt>
                <c:pt idx="52">
                  <c:v>0.94804141353640803</c:v>
                </c:pt>
                <c:pt idx="53">
                  <c:v>0.96026182938307503</c:v>
                </c:pt>
                <c:pt idx="54">
                  <c:v>0.96914178146658603</c:v>
                </c:pt>
                <c:pt idx="55">
                  <c:v>0.98025156156413096</c:v>
                </c:pt>
                <c:pt idx="56">
                  <c:v>0.98913664755711395</c:v>
                </c:pt>
                <c:pt idx="57">
                  <c:v>0.99691452040729001</c:v>
                </c:pt>
              </c:numCache>
            </c:numRef>
          </c:xVal>
          <c:yVal>
            <c:numRef>
              <c:f>'diffusion coeffecient'!$G$2:$G$59</c:f>
              <c:numCache>
                <c:formatCode>General</c:formatCode>
                <c:ptCount val="58"/>
                <c:pt idx="0">
                  <c:v>1.1522280977398201E-6</c:v>
                </c:pt>
                <c:pt idx="1">
                  <c:v>1.13199928840263E-6</c:v>
                </c:pt>
                <c:pt idx="2">
                  <c:v>1.13199928840263E-6</c:v>
                </c:pt>
                <c:pt idx="3">
                  <c:v>1.13199928840263E-6</c:v>
                </c:pt>
                <c:pt idx="4">
                  <c:v>1.11212562118358E-6</c:v>
                </c:pt>
                <c:pt idx="5">
                  <c:v>1.11212562118358E-6</c:v>
                </c:pt>
                <c:pt idx="6">
                  <c:v>1.11212562118358E-6</c:v>
                </c:pt>
                <c:pt idx="7">
                  <c:v>1.11212562118358E-6</c:v>
                </c:pt>
                <c:pt idx="8">
                  <c:v>1.11212562118358E-6</c:v>
                </c:pt>
                <c:pt idx="9">
                  <c:v>1.11212562118358E-6</c:v>
                </c:pt>
                <c:pt idx="10">
                  <c:v>1.11212562118358E-6</c:v>
                </c:pt>
                <c:pt idx="11">
                  <c:v>1.11212562118358E-6</c:v>
                </c:pt>
                <c:pt idx="12">
                  <c:v>1.0926008611173699E-6</c:v>
                </c:pt>
                <c:pt idx="13">
                  <c:v>1.0734188827013499E-6</c:v>
                </c:pt>
                <c:pt idx="14">
                  <c:v>1.0360593046256301E-6</c:v>
                </c:pt>
                <c:pt idx="15">
                  <c:v>1.0178699841461199E-6</c:v>
                </c:pt>
                <c:pt idx="16" formatCode="0.00E+00">
                  <c:v>9.8244374583742196E-7</c:v>
                </c:pt>
                <c:pt idx="17" formatCode="0.00E+00">
                  <c:v>9.1524731087738704E-7</c:v>
                </c:pt>
                <c:pt idx="18" formatCode="0.00E+00">
                  <c:v>8.6788371326959501E-7</c:v>
                </c:pt>
                <c:pt idx="19" formatCode="0.00E+00">
                  <c:v>8.2297115851294503E-7</c:v>
                </c:pt>
                <c:pt idx="20" formatCode="0.00E+00">
                  <c:v>7.5322213975862303E-7</c:v>
                </c:pt>
                <c:pt idx="21" formatCode="0.00E+00">
                  <c:v>7.0170382867038201E-7</c:v>
                </c:pt>
                <c:pt idx="22" formatCode="0.00E+00">
                  <c:v>6.4223254222293395E-7</c:v>
                </c:pt>
                <c:pt idx="23" formatCode="0.00E+00">
                  <c:v>5.7748201281383397E-7</c:v>
                </c:pt>
                <c:pt idx="24" formatCode="0.00E+00">
                  <c:v>5.1925969675911597E-7</c:v>
                </c:pt>
                <c:pt idx="25" formatCode="0.00E+00">
                  <c:v>4.5871026782343802E-7</c:v>
                </c:pt>
                <c:pt idx="26" formatCode="0.00E+00">
                  <c:v>3.8425133462543101E-7</c:v>
                </c:pt>
                <c:pt idx="27" formatCode="0.00E+00">
                  <c:v>3.33485475123518E-7</c:v>
                </c:pt>
                <c:pt idx="28" formatCode="0.00E+00">
                  <c:v>2.9459866144800998E-7</c:v>
                </c:pt>
                <c:pt idx="29" formatCode="0.00E+00">
                  <c:v>2.5118864315095701E-7</c:v>
                </c:pt>
                <c:pt idx="30" formatCode="0.00E+00">
                  <c:v>2.1417522448300001E-7</c:v>
                </c:pt>
                <c:pt idx="31" formatCode="0.00E+00">
                  <c:v>1.73165566686207E-7</c:v>
                </c:pt>
                <c:pt idx="32" formatCode="0.00E+00">
                  <c:v>1.4505692324279099E-7</c:v>
                </c:pt>
                <c:pt idx="33" formatCode="0.00E+00">
                  <c:v>1.15222809773982E-7</c:v>
                </c:pt>
                <c:pt idx="34" formatCode="0.00E+00">
                  <c:v>9.65195713735068E-8</c:v>
                </c:pt>
                <c:pt idx="35" formatCode="0.00E+00">
                  <c:v>8.2297115851294495E-8</c:v>
                </c:pt>
                <c:pt idx="36" formatCode="0.00E+00">
                  <c:v>7.0170382867038206E-8</c:v>
                </c:pt>
                <c:pt idx="37" formatCode="0.00E+00">
                  <c:v>5.5738316352701297E-8</c:v>
                </c:pt>
                <c:pt idx="38" formatCode="0.00E+00">
                  <c:v>4.58710267823438E-8</c:v>
                </c:pt>
                <c:pt idx="39" formatCode="0.00E+00">
                  <c:v>3.7750532053243897E-8</c:v>
                </c:pt>
                <c:pt idx="40" formatCode="0.00E+00">
                  <c:v>3.1622776601683699E-8</c:v>
                </c:pt>
                <c:pt idx="41" formatCode="0.00E+00">
                  <c:v>2.6024633095283701E-8</c:v>
                </c:pt>
                <c:pt idx="42" formatCode="0.00E+00">
                  <c:v>2.06721008659238E-8</c:v>
                </c:pt>
                <c:pt idx="43" formatCode="0.00E+00">
                  <c:v>1.6713866273203202E-8</c:v>
                </c:pt>
                <c:pt idx="44" formatCode="0.00E+00">
                  <c:v>1.304321386719E-8</c:v>
                </c:pt>
                <c:pt idx="45" formatCode="0.00E+00">
                  <c:v>1.07341888270135E-8</c:v>
                </c:pt>
                <c:pt idx="46" formatCode="0.00E+00">
                  <c:v>8.8339278146640495E-9</c:v>
                </c:pt>
                <c:pt idx="47" formatCode="0.00E+00">
                  <c:v>7.1424326496399598E-9</c:v>
                </c:pt>
                <c:pt idx="48" formatCode="0.00E+00">
                  <c:v>6.1988009697475301E-9</c:v>
                </c:pt>
                <c:pt idx="49" formatCode="0.00E+00">
                  <c:v>5.1014344154643103E-9</c:v>
                </c:pt>
                <c:pt idx="50" formatCode="0.00E+00">
                  <c:v>4.0522133937974596E-9</c:v>
                </c:pt>
                <c:pt idx="51" formatCode="0.00E+00">
                  <c:v>3.3944485527693899E-9</c:v>
                </c:pt>
                <c:pt idx="52" formatCode="0.00E+00">
                  <c:v>2.7935332579852101E-9</c:v>
                </c:pt>
                <c:pt idx="53" formatCode="0.00E+00">
                  <c:v>2.3818975457029198E-9</c:v>
                </c:pt>
                <c:pt idx="54" formatCode="0.00E+00">
                  <c:v>1.9602329826462699E-9</c:v>
                </c:pt>
                <c:pt idx="55" formatCode="0.00E+00">
                  <c:v>1.70125427985258E-9</c:v>
                </c:pt>
                <c:pt idx="56" formatCode="0.00E+00">
                  <c:v>1.4764908816142499E-9</c:v>
                </c:pt>
                <c:pt idx="57" formatCode="0.00E+00">
                  <c:v>1.35135430893243E-9</c:v>
                </c:pt>
              </c:numCache>
            </c:numRef>
          </c:yVal>
          <c:smooth val="1"/>
          <c:extLst>
            <c:ext xmlns:c16="http://schemas.microsoft.com/office/drawing/2014/chart" uri="{C3380CC4-5D6E-409C-BE32-E72D297353CC}">
              <c16:uniqueId val="{00000001-F1EF-4BDD-9D17-91C12DB554DF}"/>
            </c:ext>
          </c:extLst>
        </c:ser>
        <c:ser>
          <c:idx val="2"/>
          <c:order val="2"/>
          <c:tx>
            <c:v>Clay</c:v>
          </c:tx>
          <c:spPr>
            <a:ln w="19050" cap="rnd">
              <a:solidFill>
                <a:schemeClr val="accent3"/>
              </a:solidFill>
              <a:round/>
            </a:ln>
            <a:effectLst/>
          </c:spPr>
          <c:marker>
            <c:symbol val="none"/>
          </c:marker>
          <c:xVal>
            <c:numRef>
              <c:f>'diffusion coeffecient'!$J$2:$J$65</c:f>
              <c:numCache>
                <c:formatCode>General</c:formatCode>
                <c:ptCount val="64"/>
                <c:pt idx="0">
                  <c:v>6.4533242063832203E-3</c:v>
                </c:pt>
                <c:pt idx="1">
                  <c:v>2.53615127919911E-2</c:v>
                </c:pt>
                <c:pt idx="2">
                  <c:v>4.5382048429879397E-2</c:v>
                </c:pt>
                <c:pt idx="3">
                  <c:v>6.6516642423205194E-2</c:v>
                </c:pt>
                <c:pt idx="4">
                  <c:v>8.2089501155129599E-2</c:v>
                </c:pt>
                <c:pt idx="5">
                  <c:v>0.10099597843758</c:v>
                </c:pt>
                <c:pt idx="6">
                  <c:v>0.12546419098143199</c:v>
                </c:pt>
                <c:pt idx="7">
                  <c:v>0.14214939676563701</c:v>
                </c:pt>
                <c:pt idx="8">
                  <c:v>0.16439462650808501</c:v>
                </c:pt>
                <c:pt idx="9">
                  <c:v>0.18330281509369301</c:v>
                </c:pt>
                <c:pt idx="10">
                  <c:v>0.207772738940703</c:v>
                </c:pt>
                <c:pt idx="11">
                  <c:v>0.22000855651578599</c:v>
                </c:pt>
                <c:pt idx="12">
                  <c:v>0.238918456404552</c:v>
                </c:pt>
                <c:pt idx="13">
                  <c:v>0.26004791648840497</c:v>
                </c:pt>
                <c:pt idx="14">
                  <c:v>0.282293146230854</c:v>
                </c:pt>
                <c:pt idx="15">
                  <c:v>0.31010011123470499</c:v>
                </c:pt>
                <c:pt idx="16">
                  <c:v>0.33345597672627703</c:v>
                </c:pt>
                <c:pt idx="17">
                  <c:v>0.35792761187644401</c:v>
                </c:pt>
                <c:pt idx="18">
                  <c:v>0.37572516471292899</c:v>
                </c:pt>
                <c:pt idx="19">
                  <c:v>0.39352100624625602</c:v>
                </c:pt>
                <c:pt idx="20">
                  <c:v>0.41576623598870499</c:v>
                </c:pt>
                <c:pt idx="21">
                  <c:v>0.43356207752203302</c:v>
                </c:pt>
                <c:pt idx="22">
                  <c:v>0.46136904252588301</c:v>
                </c:pt>
                <c:pt idx="23">
                  <c:v>0.48361427226833198</c:v>
                </c:pt>
                <c:pt idx="24">
                  <c:v>0.50808590741849902</c:v>
                </c:pt>
                <c:pt idx="25">
                  <c:v>0.53255583126550798</c:v>
                </c:pt>
                <c:pt idx="26">
                  <c:v>0.56258749037391897</c:v>
                </c:pt>
                <c:pt idx="27">
                  <c:v>0.589282108325489</c:v>
                </c:pt>
                <c:pt idx="28">
                  <c:v>0.61263968512021905</c:v>
                </c:pt>
                <c:pt idx="29">
                  <c:v>0.63933430307178896</c:v>
                </c:pt>
                <c:pt idx="30">
                  <c:v>0.65935312740651997</c:v>
                </c:pt>
                <c:pt idx="31">
                  <c:v>0.677148968939847</c:v>
                </c:pt>
                <c:pt idx="32">
                  <c:v>0.70050312312826202</c:v>
                </c:pt>
                <c:pt idx="33">
                  <c:v>0.72163600581843002</c:v>
                </c:pt>
                <c:pt idx="34">
                  <c:v>0.74276888850859901</c:v>
                </c:pt>
                <c:pt idx="35">
                  <c:v>0.76056130743561201</c:v>
                </c:pt>
                <c:pt idx="36">
                  <c:v>0.77946436211174797</c:v>
                </c:pt>
                <c:pt idx="37">
                  <c:v>0.79948318644647898</c:v>
                </c:pt>
                <c:pt idx="38">
                  <c:v>0.81171044750577503</c:v>
                </c:pt>
                <c:pt idx="39">
                  <c:v>0.82505347822366704</c:v>
                </c:pt>
                <c:pt idx="40">
                  <c:v>0.84506203473945396</c:v>
                </c:pt>
                <c:pt idx="41">
                  <c:v>0.86173526140155698</c:v>
                </c:pt>
                <c:pt idx="42">
                  <c:v>0.872841618892786</c:v>
                </c:pt>
                <c:pt idx="43">
                  <c:v>0.88394626508085805</c:v>
                </c:pt>
                <c:pt idx="44">
                  <c:v>0.89394027551980804</c:v>
                </c:pt>
                <c:pt idx="45">
                  <c:v>0.90282022760331904</c:v>
                </c:pt>
                <c:pt idx="46">
                  <c:v>0.91058441002823598</c:v>
                </c:pt>
                <c:pt idx="47">
                  <c:v>0.91834859245315303</c:v>
                </c:pt>
                <c:pt idx="48">
                  <c:v>0.92611106357491202</c:v>
                </c:pt>
                <c:pt idx="49">
                  <c:v>0.93387182339351404</c:v>
                </c:pt>
                <c:pt idx="50">
                  <c:v>0.93940617780439795</c:v>
                </c:pt>
                <c:pt idx="51">
                  <c:v>0.94494395482159599</c:v>
                </c:pt>
                <c:pt idx="52">
                  <c:v>0.95159407889107495</c:v>
                </c:pt>
                <c:pt idx="53">
                  <c:v>0.95601950885599396</c:v>
                </c:pt>
                <c:pt idx="54">
                  <c:v>0.96155557457003504</c:v>
                </c:pt>
                <c:pt idx="55">
                  <c:v>0.96709506289039004</c:v>
                </c:pt>
                <c:pt idx="56">
                  <c:v>0.96930093266021999</c:v>
                </c:pt>
                <c:pt idx="57">
                  <c:v>0.97261914948232997</c:v>
                </c:pt>
                <c:pt idx="58">
                  <c:v>0.97816034910584404</c:v>
                </c:pt>
                <c:pt idx="59">
                  <c:v>0.98147514332163899</c:v>
                </c:pt>
                <c:pt idx="60">
                  <c:v>0.98589715068024297</c:v>
                </c:pt>
                <c:pt idx="61">
                  <c:v>0.989208522289723</c:v>
                </c:pt>
                <c:pt idx="62">
                  <c:v>0.99252331650551895</c:v>
                </c:pt>
                <c:pt idx="63">
                  <c:v>0.99695045777359403</c:v>
                </c:pt>
              </c:numCache>
            </c:numRef>
          </c:xVal>
          <c:yVal>
            <c:numRef>
              <c:f>'diffusion coeffecient'!$K$2:$K$65</c:f>
              <c:numCache>
                <c:formatCode>0.00E+00</c:formatCode>
                <c:ptCount val="64"/>
                <c:pt idx="0" formatCode="General">
                  <c:v>1.0178699841461199E-6</c:v>
                </c:pt>
                <c:pt idx="1">
                  <c:v>9.9999999999999805E-7</c:v>
                </c:pt>
                <c:pt idx="2">
                  <c:v>9.8244374583742196E-7</c:v>
                </c:pt>
                <c:pt idx="3">
                  <c:v>9.8244374583742196E-7</c:v>
                </c:pt>
                <c:pt idx="4">
                  <c:v>9.8244374583742196E-7</c:v>
                </c:pt>
                <c:pt idx="5">
                  <c:v>9.4825049246810701E-7</c:v>
                </c:pt>
                <c:pt idx="6">
                  <c:v>9.1524731087738704E-7</c:v>
                </c:pt>
                <c:pt idx="7">
                  <c:v>9.1524731087738704E-7</c:v>
                </c:pt>
                <c:pt idx="8">
                  <c:v>8.9917899646601005E-7</c:v>
                </c:pt>
                <c:pt idx="9">
                  <c:v>8.8339278146640403E-7</c:v>
                </c:pt>
                <c:pt idx="10">
                  <c:v>8.6788371326959501E-7</c:v>
                </c:pt>
                <c:pt idx="11">
                  <c:v>8.6788371326959501E-7</c:v>
                </c:pt>
                <c:pt idx="12">
                  <c:v>8.6788371326959501E-7</c:v>
                </c:pt>
                <c:pt idx="13">
                  <c:v>8.2297115851294503E-7</c:v>
                </c:pt>
                <c:pt idx="14">
                  <c:v>8.08522867685623E-7</c:v>
                </c:pt>
                <c:pt idx="15">
                  <c:v>7.9432823472427997E-7</c:v>
                </c:pt>
                <c:pt idx="16">
                  <c:v>7.6668220745461999E-7</c:v>
                </c:pt>
                <c:pt idx="17">
                  <c:v>7.6668220745461999E-7</c:v>
                </c:pt>
                <c:pt idx="18">
                  <c:v>7.6668220745461999E-7</c:v>
                </c:pt>
                <c:pt idx="19">
                  <c:v>7.5322213975862303E-7</c:v>
                </c:pt>
                <c:pt idx="20">
                  <c:v>7.3999838043214198E-7</c:v>
                </c:pt>
                <c:pt idx="21">
                  <c:v>7.2700678078538103E-7</c:v>
                </c:pt>
                <c:pt idx="22">
                  <c:v>7.1424326496399698E-7</c:v>
                </c:pt>
                <c:pt idx="23">
                  <c:v>7.0170382867038201E-7</c:v>
                </c:pt>
                <c:pt idx="24">
                  <c:v>7.0170382867038201E-7</c:v>
                </c:pt>
                <c:pt idx="25">
                  <c:v>6.8938453790739298E-7</c:v>
                </c:pt>
                <c:pt idx="26">
                  <c:v>6.7728152774414096E-7</c:v>
                </c:pt>
                <c:pt idx="27">
                  <c:v>6.65391001103446E-7</c:v>
                </c:pt>
                <c:pt idx="28">
                  <c:v>6.5370922757058405E-7</c:v>
                </c:pt>
                <c:pt idx="29">
                  <c:v>6.4223254222293395E-7</c:v>
                </c:pt>
                <c:pt idx="30">
                  <c:v>6.1988009697475397E-7</c:v>
                </c:pt>
                <c:pt idx="31">
                  <c:v>6.0899732444194298E-7</c:v>
                </c:pt>
                <c:pt idx="32">
                  <c:v>5.7748201281383397E-7</c:v>
                </c:pt>
                <c:pt idx="33">
                  <c:v>5.6734359182255804E-7</c:v>
                </c:pt>
                <c:pt idx="34">
                  <c:v>5.5738316352701296E-7</c:v>
                </c:pt>
                <c:pt idx="35">
                  <c:v>5.2853885930792298E-7</c:v>
                </c:pt>
                <c:pt idx="36">
                  <c:v>4.9238826317067304E-7</c:v>
                </c:pt>
                <c:pt idx="37">
                  <c:v>4.75251041105789E-7</c:v>
                </c:pt>
                <c:pt idx="38">
                  <c:v>4.34972237363753E-7</c:v>
                </c:pt>
                <c:pt idx="39">
                  <c:v>4.12462638290134E-7</c:v>
                </c:pt>
                <c:pt idx="40">
                  <c:v>3.57969606104217E-7</c:v>
                </c:pt>
                <c:pt idx="41">
                  <c:v>3.1622776601683702E-7</c:v>
                </c:pt>
                <c:pt idx="42">
                  <c:v>2.6489692876105198E-7</c:v>
                </c:pt>
                <c:pt idx="43">
                  <c:v>2.1800253234900401E-7</c:v>
                </c:pt>
                <c:pt idx="44">
                  <c:v>1.8261584682702499E-7</c:v>
                </c:pt>
                <c:pt idx="45">
                  <c:v>1.5028757502606E-7</c:v>
                </c:pt>
                <c:pt idx="46">
                  <c:v>1.1937766417144301E-7</c:v>
                </c:pt>
                <c:pt idx="47">
                  <c:v>9.4825049246810706E-8</c:v>
                </c:pt>
                <c:pt idx="48">
                  <c:v>7.39998380432142E-8</c:v>
                </c:pt>
                <c:pt idx="49">
                  <c:v>5.6734359182255797E-8</c:v>
                </c:pt>
                <c:pt idx="50">
                  <c:v>4.2733575421093097E-8</c:v>
                </c:pt>
                <c:pt idx="51">
                  <c:v>3.3348547512351801E-8</c:v>
                </c:pt>
                <c:pt idx="52">
                  <c:v>2.6024633095283701E-8</c:v>
                </c:pt>
                <c:pt idx="53">
                  <c:v>2.0309176209047301E-8</c:v>
                </c:pt>
                <c:pt idx="54">
                  <c:v>1.5570684047537199E-8</c:v>
                </c:pt>
                <c:pt idx="55">
                  <c:v>1.23682339729298E-8</c:v>
                </c:pt>
                <c:pt idx="56">
                  <c:v>1.0178699841461201E-8</c:v>
                </c:pt>
                <c:pt idx="57">
                  <c:v>8.3767764006829197E-9</c:v>
                </c:pt>
                <c:pt idx="58">
                  <c:v>6.7728152774413896E-9</c:v>
                </c:pt>
                <c:pt idx="59">
                  <c:v>5.3798384034436702E-9</c:v>
                </c:pt>
                <c:pt idx="60">
                  <c:v>4.0522133937974596E-9</c:v>
                </c:pt>
                <c:pt idx="61">
                  <c:v>3.1067599098338202E-9</c:v>
                </c:pt>
                <c:pt idx="62">
                  <c:v>2.46778711489047E-9</c:v>
                </c:pt>
                <c:pt idx="63">
                  <c:v>1.9602329826462699E-9</c:v>
                </c:pt>
              </c:numCache>
            </c:numRef>
          </c:yVal>
          <c:smooth val="1"/>
          <c:extLst>
            <c:ext xmlns:c16="http://schemas.microsoft.com/office/drawing/2014/chart" uri="{C3380CC4-5D6E-409C-BE32-E72D297353CC}">
              <c16:uniqueId val="{00000002-F1EF-4BDD-9D17-91C12DB554DF}"/>
            </c:ext>
          </c:extLst>
        </c:ser>
        <c:dLbls>
          <c:showLegendKey val="0"/>
          <c:showVal val="0"/>
          <c:showCatName val="0"/>
          <c:showSerName val="0"/>
          <c:showPercent val="0"/>
          <c:showBubbleSize val="0"/>
        </c:dLbls>
        <c:axId val="893810847"/>
        <c:axId val="829129327"/>
      </c:scatterChart>
      <c:valAx>
        <c:axId val="893810847"/>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Degree of saturation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9129327"/>
        <c:crosses val="autoZero"/>
        <c:crossBetween val="midCat"/>
      </c:valAx>
      <c:valAx>
        <c:axId val="829129327"/>
        <c:scaling>
          <c:logBase val="10"/>
          <c:orientation val="minMax"/>
          <c:max val="1.0000000000000004E-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Diffution coefficient (m^2/s)</a:t>
                </a:r>
              </a:p>
            </c:rich>
          </c:tx>
          <c:layout>
            <c:manualLayout>
              <c:xMode val="edge"/>
              <c:yMode val="edge"/>
              <c:x val="2.7777777777777779E-3"/>
              <c:y val="0.23307388011905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93810847"/>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49842108099165"/>
          <c:y val="0.13207429698726095"/>
          <c:w val="0.81182807880638497"/>
          <c:h val="0.72238046556327951"/>
        </c:manualLayout>
      </c:layout>
      <c:scatterChart>
        <c:scatterStyle val="smoothMarker"/>
        <c:varyColors val="0"/>
        <c:ser>
          <c:idx val="0"/>
          <c:order val="0"/>
          <c:tx>
            <c:v>Simulation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'with active area'!$C$2:$C$11</c:f>
              <c:numCache>
                <c:formatCode>General</c:formatCode>
                <c:ptCount val="10"/>
                <c:pt idx="0">
                  <c:v>0.1</c:v>
                </c:pt>
                <c:pt idx="1">
                  <c:v>0.2</c:v>
                </c:pt>
                <c:pt idx="2">
                  <c:v>0.3</c:v>
                </c:pt>
                <c:pt idx="3">
                  <c:v>0.4</c:v>
                </c:pt>
                <c:pt idx="4">
                  <c:v>0.5</c:v>
                </c:pt>
                <c:pt idx="5">
                  <c:v>0.6</c:v>
                </c:pt>
                <c:pt idx="6">
                  <c:v>0.7</c:v>
                </c:pt>
                <c:pt idx="7">
                  <c:v>0.8</c:v>
                </c:pt>
                <c:pt idx="8">
                  <c:v>0.9</c:v>
                </c:pt>
                <c:pt idx="9">
                  <c:v>1</c:v>
                </c:pt>
              </c:numCache>
            </c:numRef>
          </c:xVal>
          <c:yVal>
            <c:numRef>
              <c:f>'with active area'!$D$2:$D$11</c:f>
              <c:numCache>
                <c:formatCode>General</c:formatCode>
                <c:ptCount val="10"/>
                <c:pt idx="0">
                  <c:v>1.0367999999999999</c:v>
                </c:pt>
                <c:pt idx="1">
                  <c:v>1.6741999999999999</c:v>
                </c:pt>
                <c:pt idx="2">
                  <c:v>2.5558000000000001</c:v>
                </c:pt>
                <c:pt idx="3">
                  <c:v>3.528</c:v>
                </c:pt>
                <c:pt idx="4">
                  <c:v>4.2976000000000001</c:v>
                </c:pt>
                <c:pt idx="5">
                  <c:v>4.7309999999999999</c:v>
                </c:pt>
                <c:pt idx="6">
                  <c:v>4.9031000000000002</c:v>
                </c:pt>
                <c:pt idx="7">
                  <c:v>4.7736999999999998</c:v>
                </c:pt>
                <c:pt idx="8">
                  <c:v>3.1175000000000002</c:v>
                </c:pt>
                <c:pt idx="9">
                  <c:v>0.43380000000000002</c:v>
                </c:pt>
              </c:numCache>
            </c:numRef>
          </c:yVal>
          <c:smooth val="1"/>
          <c:extLst>
            <c:ext xmlns:c16="http://schemas.microsoft.com/office/drawing/2014/chart" uri="{C3380CC4-5D6E-409C-BE32-E72D297353CC}">
              <c16:uniqueId val="{00000000-9CE0-4BFD-8893-DE01FC95A50C}"/>
            </c:ext>
          </c:extLst>
        </c:ser>
        <c:dLbls>
          <c:showLegendKey val="0"/>
          <c:showVal val="0"/>
          <c:showCatName val="0"/>
          <c:showSerName val="0"/>
          <c:showPercent val="0"/>
          <c:showBubbleSize val="0"/>
        </c:dLbls>
        <c:axId val="575606879"/>
        <c:axId val="575610239"/>
      </c:scatterChart>
      <c:scatterChart>
        <c:scatterStyle val="lineMarker"/>
        <c:varyColors val="0"/>
        <c:ser>
          <c:idx val="1"/>
          <c:order val="1"/>
          <c:tx>
            <c:v>Original data</c:v>
          </c:tx>
          <c:spPr>
            <a:ln w="25400" cap="rnd">
              <a:noFill/>
              <a:round/>
            </a:ln>
            <a:effectLst/>
          </c:spPr>
          <c:marker>
            <c:symbol val="circle"/>
            <c:size val="5"/>
            <c:spPr>
              <a:solidFill>
                <a:schemeClr val="accent2"/>
              </a:solidFill>
              <a:ln w="9525">
                <a:solidFill>
                  <a:schemeClr val="accent2"/>
                </a:solidFill>
              </a:ln>
              <a:effectLst/>
            </c:spPr>
          </c:marker>
          <c:xVal>
            <c:numRef>
              <c:f>'with active area'!$C$14:$C$23</c:f>
              <c:numCache>
                <c:formatCode>General</c:formatCode>
                <c:ptCount val="10"/>
                <c:pt idx="0">
                  <c:v>0.100751879699248</c:v>
                </c:pt>
                <c:pt idx="1">
                  <c:v>0.2</c:v>
                </c:pt>
                <c:pt idx="2">
                  <c:v>0.3</c:v>
                </c:pt>
                <c:pt idx="3">
                  <c:v>0.4</c:v>
                </c:pt>
                <c:pt idx="4">
                  <c:v>0.499248120300751</c:v>
                </c:pt>
                <c:pt idx="5">
                  <c:v>0.59924812030075203</c:v>
                </c:pt>
                <c:pt idx="6">
                  <c:v>0.69849624060150295</c:v>
                </c:pt>
                <c:pt idx="7">
                  <c:v>0.80075187969924799</c:v>
                </c:pt>
                <c:pt idx="8">
                  <c:v>0.9</c:v>
                </c:pt>
                <c:pt idx="9">
                  <c:v>0.99924812030075105</c:v>
                </c:pt>
              </c:numCache>
            </c:numRef>
          </c:xVal>
          <c:yVal>
            <c:numRef>
              <c:f>'with active area'!$D$14:$D$23</c:f>
              <c:numCache>
                <c:formatCode>General</c:formatCode>
                <c:ptCount val="10"/>
                <c:pt idx="0">
                  <c:v>0.68168630378402395</c:v>
                </c:pt>
                <c:pt idx="1">
                  <c:v>1.09211873080859</c:v>
                </c:pt>
                <c:pt idx="2">
                  <c:v>1.2671443193449301</c:v>
                </c:pt>
                <c:pt idx="3">
                  <c:v>2.42476970317297</c:v>
                </c:pt>
                <c:pt idx="4">
                  <c:v>3.1524999807604899</c:v>
                </c:pt>
                <c:pt idx="5">
                  <c:v>2.5240455283551699</c:v>
                </c:pt>
                <c:pt idx="6">
                  <c:v>1.3735772389007299</c:v>
                </c:pt>
                <c:pt idx="7">
                  <c:v>1.1903864061381699</c:v>
                </c:pt>
                <c:pt idx="8">
                  <c:v>1.46264073694984</c:v>
                </c:pt>
                <c:pt idx="9">
                  <c:v>1.19753580471136</c:v>
                </c:pt>
              </c:numCache>
            </c:numRef>
          </c:yVal>
          <c:smooth val="0"/>
          <c:extLst>
            <c:ext xmlns:c16="http://schemas.microsoft.com/office/drawing/2014/chart" uri="{C3380CC4-5D6E-409C-BE32-E72D297353CC}">
              <c16:uniqueId val="{00000001-9CE0-4BFD-8893-DE01FC95A50C}"/>
            </c:ext>
          </c:extLst>
        </c:ser>
        <c:dLbls>
          <c:showLegendKey val="0"/>
          <c:showVal val="0"/>
          <c:showCatName val="0"/>
          <c:showSerName val="0"/>
          <c:showPercent val="0"/>
          <c:showBubbleSize val="0"/>
        </c:dLbls>
        <c:axId val="575606879"/>
        <c:axId val="575610239"/>
      </c:scatterChart>
      <c:valAx>
        <c:axId val="5756068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Degree of saturation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5610239"/>
        <c:crosses val="autoZero"/>
        <c:crossBetween val="midCat"/>
      </c:valAx>
      <c:valAx>
        <c:axId val="575610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Corrison current desnity (µA/cm2)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5606879"/>
        <c:crosses val="autoZero"/>
        <c:crossBetween val="midCat"/>
      </c:valAx>
      <c:spPr>
        <a:noFill/>
        <a:ln>
          <a:noFill/>
        </a:ln>
        <a:effectLst/>
      </c:spPr>
    </c:plotArea>
    <c:legend>
      <c:legendPos val="r"/>
      <c:layout>
        <c:manualLayout>
          <c:xMode val="edge"/>
          <c:yMode val="edge"/>
          <c:x val="0.6936882472275091"/>
          <c:y val="0.14294707362610601"/>
          <c:w val="0.23812617437718822"/>
          <c:h val="0.159227615877912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Silt</a:t>
            </a: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494548469238756"/>
          <c:y val="0.13314991985394006"/>
          <c:w val="0.81667609616871617"/>
          <c:h val="0.70017898088714137"/>
        </c:manualLayout>
      </c:layout>
      <c:scatterChart>
        <c:scatterStyle val="lineMarker"/>
        <c:varyColors val="0"/>
        <c:ser>
          <c:idx val="1"/>
          <c:order val="1"/>
          <c:tx>
            <c:v>Original data</c:v>
          </c:tx>
          <c:spPr>
            <a:ln w="25400" cap="rnd">
              <a:noFill/>
              <a:round/>
            </a:ln>
            <a:effectLst/>
          </c:spPr>
          <c:marker>
            <c:symbol val="circle"/>
            <c:size val="5"/>
            <c:spPr>
              <a:solidFill>
                <a:schemeClr val="accent2"/>
              </a:solidFill>
              <a:ln w="9525">
                <a:solidFill>
                  <a:schemeClr val="accent2"/>
                </a:solidFill>
              </a:ln>
              <a:effectLst/>
            </c:spPr>
          </c:marker>
          <c:xVal>
            <c:numRef>
              <c:f>'with active area'!$H$14:$H$22</c:f>
              <c:numCache>
                <c:formatCode>General</c:formatCode>
                <c:ptCount val="9"/>
                <c:pt idx="0">
                  <c:v>0.136023254303139</c:v>
                </c:pt>
                <c:pt idx="1">
                  <c:v>0.212493404467374</c:v>
                </c:pt>
                <c:pt idx="2">
                  <c:v>0.31951929064551399</c:v>
                </c:pt>
                <c:pt idx="3">
                  <c:v>0.43872056966387701</c:v>
                </c:pt>
                <c:pt idx="4">
                  <c:v>0.51206923051327002</c:v>
                </c:pt>
                <c:pt idx="5">
                  <c:v>0.62348738490498401</c:v>
                </c:pt>
                <c:pt idx="6">
                  <c:v>0.71965698476808204</c:v>
                </c:pt>
                <c:pt idx="7">
                  <c:v>0.81378018694076604</c:v>
                </c:pt>
                <c:pt idx="8">
                  <c:v>0.89599023306591996</c:v>
                </c:pt>
              </c:numCache>
            </c:numRef>
          </c:xVal>
          <c:yVal>
            <c:numRef>
              <c:f>'with active area'!$I$14:$I$22</c:f>
              <c:numCache>
                <c:formatCode>General</c:formatCode>
                <c:ptCount val="9"/>
                <c:pt idx="0">
                  <c:v>9.4167568518274791</c:v>
                </c:pt>
                <c:pt idx="1">
                  <c:v>6.6619870735482998</c:v>
                </c:pt>
                <c:pt idx="2">
                  <c:v>7.8788925526335296</c:v>
                </c:pt>
                <c:pt idx="3">
                  <c:v>18.046137830390599</c:v>
                </c:pt>
                <c:pt idx="4">
                  <c:v>25.240330909557599</c:v>
                </c:pt>
                <c:pt idx="5">
                  <c:v>57.046817586185497</c:v>
                </c:pt>
                <c:pt idx="6">
                  <c:v>82.266423074302494</c:v>
                </c:pt>
                <c:pt idx="7">
                  <c:v>68.688610049927902</c:v>
                </c:pt>
                <c:pt idx="8">
                  <c:v>4.9997702457102999</c:v>
                </c:pt>
              </c:numCache>
            </c:numRef>
          </c:yVal>
          <c:smooth val="0"/>
          <c:extLst>
            <c:ext xmlns:c16="http://schemas.microsoft.com/office/drawing/2014/chart" uri="{C3380CC4-5D6E-409C-BE32-E72D297353CC}">
              <c16:uniqueId val="{00000000-DBB1-477B-B98F-927EBFA8F1FE}"/>
            </c:ext>
          </c:extLst>
        </c:ser>
        <c:dLbls>
          <c:showLegendKey val="0"/>
          <c:showVal val="0"/>
          <c:showCatName val="0"/>
          <c:showSerName val="0"/>
          <c:showPercent val="0"/>
          <c:showBubbleSize val="0"/>
        </c:dLbls>
        <c:axId val="575606879"/>
        <c:axId val="575610239"/>
      </c:scatterChart>
      <c:scatterChart>
        <c:scatterStyle val="smoothMarker"/>
        <c:varyColors val="0"/>
        <c:ser>
          <c:idx val="0"/>
          <c:order val="0"/>
          <c:tx>
            <c:v>Simulation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'with active area'!$H$2:$H$11</c:f>
              <c:numCache>
                <c:formatCode>General</c:formatCode>
                <c:ptCount val="10"/>
                <c:pt idx="0">
                  <c:v>0.1</c:v>
                </c:pt>
                <c:pt idx="1">
                  <c:v>0.2</c:v>
                </c:pt>
                <c:pt idx="2">
                  <c:v>0.3</c:v>
                </c:pt>
                <c:pt idx="3">
                  <c:v>0.4</c:v>
                </c:pt>
                <c:pt idx="4">
                  <c:v>0.5</c:v>
                </c:pt>
                <c:pt idx="5">
                  <c:v>0.6</c:v>
                </c:pt>
                <c:pt idx="6">
                  <c:v>0.7</c:v>
                </c:pt>
                <c:pt idx="7">
                  <c:v>0.8</c:v>
                </c:pt>
                <c:pt idx="8">
                  <c:v>0.9</c:v>
                </c:pt>
                <c:pt idx="9">
                  <c:v>1</c:v>
                </c:pt>
              </c:numCache>
            </c:numRef>
          </c:xVal>
          <c:yVal>
            <c:numRef>
              <c:f>'with active area'!$I$2:$I$11</c:f>
              <c:numCache>
                <c:formatCode>General</c:formatCode>
                <c:ptCount val="10"/>
                <c:pt idx="0">
                  <c:v>14.638999999999999</c:v>
                </c:pt>
                <c:pt idx="1">
                  <c:v>22.45</c:v>
                </c:pt>
                <c:pt idx="2">
                  <c:v>34.341999999999999</c:v>
                </c:pt>
                <c:pt idx="3">
                  <c:v>52.085000000000001</c:v>
                </c:pt>
                <c:pt idx="4">
                  <c:v>76.302000000000007</c:v>
                </c:pt>
                <c:pt idx="5">
                  <c:v>101.06</c:v>
                </c:pt>
                <c:pt idx="6">
                  <c:v>113.23</c:v>
                </c:pt>
                <c:pt idx="7">
                  <c:v>100.9</c:v>
                </c:pt>
                <c:pt idx="8">
                  <c:v>39.926000000000002</c:v>
                </c:pt>
                <c:pt idx="9">
                  <c:v>4.6313000000000004</c:v>
                </c:pt>
              </c:numCache>
            </c:numRef>
          </c:yVal>
          <c:smooth val="1"/>
          <c:extLst>
            <c:ext xmlns:c16="http://schemas.microsoft.com/office/drawing/2014/chart" uri="{C3380CC4-5D6E-409C-BE32-E72D297353CC}">
              <c16:uniqueId val="{00000001-DBB1-477B-B98F-927EBFA8F1FE}"/>
            </c:ext>
          </c:extLst>
        </c:ser>
        <c:dLbls>
          <c:showLegendKey val="0"/>
          <c:showVal val="0"/>
          <c:showCatName val="0"/>
          <c:showSerName val="0"/>
          <c:showPercent val="0"/>
          <c:showBubbleSize val="0"/>
        </c:dLbls>
        <c:axId val="575606879"/>
        <c:axId val="575610239"/>
      </c:scatterChart>
      <c:valAx>
        <c:axId val="5756068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Degree of saturation</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5610239"/>
        <c:crosses val="autoZero"/>
        <c:crossBetween val="midCat"/>
      </c:valAx>
      <c:valAx>
        <c:axId val="575610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Corrison current desnity (µA/cm2)</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5606879"/>
        <c:crosses val="autoZero"/>
        <c:crossBetween val="midCat"/>
      </c:valAx>
      <c:spPr>
        <a:noFill/>
        <a:ln>
          <a:noFill/>
        </a:ln>
        <a:effectLst/>
      </c:spPr>
    </c:plotArea>
    <c:legend>
      <c:legendPos val="r"/>
      <c:layout>
        <c:manualLayout>
          <c:xMode val="edge"/>
          <c:yMode val="edge"/>
          <c:x val="0.69321691880154157"/>
          <c:y val="0.15966124119918726"/>
          <c:w val="0.22831810229019209"/>
          <c:h val="0.1548615953019314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Clay</a:t>
            </a: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4685011244576"/>
          <c:y val="0.11674199561955964"/>
          <c:w val="0.81850950585741733"/>
          <c:h val="0.72894380410718151"/>
        </c:manualLayout>
      </c:layout>
      <c:scatterChart>
        <c:scatterStyle val="smoothMarker"/>
        <c:varyColors val="0"/>
        <c:ser>
          <c:idx val="0"/>
          <c:order val="0"/>
          <c:tx>
            <c:v>Simulation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'with active area'!$M$2:$M$11</c:f>
              <c:numCache>
                <c:formatCode>General</c:formatCode>
                <c:ptCount val="10"/>
                <c:pt idx="0">
                  <c:v>0.1</c:v>
                </c:pt>
                <c:pt idx="1">
                  <c:v>0.2</c:v>
                </c:pt>
                <c:pt idx="2">
                  <c:v>0.3</c:v>
                </c:pt>
                <c:pt idx="3">
                  <c:v>0.4</c:v>
                </c:pt>
                <c:pt idx="4">
                  <c:v>0.5</c:v>
                </c:pt>
                <c:pt idx="5">
                  <c:v>0.6</c:v>
                </c:pt>
                <c:pt idx="6">
                  <c:v>0.7</c:v>
                </c:pt>
                <c:pt idx="7">
                  <c:v>0.8</c:v>
                </c:pt>
                <c:pt idx="8">
                  <c:v>0.9</c:v>
                </c:pt>
                <c:pt idx="9">
                  <c:v>1</c:v>
                </c:pt>
              </c:numCache>
            </c:numRef>
          </c:xVal>
          <c:yVal>
            <c:numRef>
              <c:f>'with active area'!$N$2:$N$11</c:f>
              <c:numCache>
                <c:formatCode>General</c:formatCode>
                <c:ptCount val="10"/>
                <c:pt idx="0">
                  <c:v>0.68630000000000002</c:v>
                </c:pt>
                <c:pt idx="1">
                  <c:v>1.3955</c:v>
                </c:pt>
                <c:pt idx="2">
                  <c:v>2.8370000000000002</c:v>
                </c:pt>
                <c:pt idx="3">
                  <c:v>5.7629999999999999</c:v>
                </c:pt>
                <c:pt idx="4">
                  <c:v>11.648999999999999</c:v>
                </c:pt>
                <c:pt idx="5">
                  <c:v>22.771000000000001</c:v>
                </c:pt>
                <c:pt idx="6">
                  <c:v>37.822000000000003</c:v>
                </c:pt>
                <c:pt idx="7">
                  <c:v>46.066000000000003</c:v>
                </c:pt>
                <c:pt idx="8">
                  <c:v>45.893999999999998</c:v>
                </c:pt>
                <c:pt idx="9">
                  <c:v>18.574999999999999</c:v>
                </c:pt>
              </c:numCache>
            </c:numRef>
          </c:yVal>
          <c:smooth val="1"/>
          <c:extLst>
            <c:ext xmlns:c16="http://schemas.microsoft.com/office/drawing/2014/chart" uri="{C3380CC4-5D6E-409C-BE32-E72D297353CC}">
              <c16:uniqueId val="{00000000-8E1C-47C4-8ACF-AF9AE91630AC}"/>
            </c:ext>
          </c:extLst>
        </c:ser>
        <c:dLbls>
          <c:showLegendKey val="0"/>
          <c:showVal val="0"/>
          <c:showCatName val="0"/>
          <c:showSerName val="0"/>
          <c:showPercent val="0"/>
          <c:showBubbleSize val="0"/>
        </c:dLbls>
        <c:axId val="575606879"/>
        <c:axId val="575610239"/>
      </c:scatterChart>
      <c:scatterChart>
        <c:scatterStyle val="lineMarker"/>
        <c:varyColors val="0"/>
        <c:ser>
          <c:idx val="1"/>
          <c:order val="1"/>
          <c:tx>
            <c:v>Original data</c:v>
          </c:tx>
          <c:spPr>
            <a:ln w="25400" cap="rnd">
              <a:noFill/>
              <a:round/>
            </a:ln>
            <a:effectLst/>
          </c:spPr>
          <c:marker>
            <c:symbol val="circle"/>
            <c:size val="5"/>
            <c:spPr>
              <a:solidFill>
                <a:schemeClr val="accent2"/>
              </a:solidFill>
              <a:ln w="9525">
                <a:solidFill>
                  <a:schemeClr val="accent2"/>
                </a:solidFill>
              </a:ln>
              <a:effectLst/>
            </c:spPr>
          </c:marker>
          <c:xVal>
            <c:numRef>
              <c:f>'with active area'!$M$14:$M$22</c:f>
              <c:numCache>
                <c:formatCode>General</c:formatCode>
                <c:ptCount val="9"/>
                <c:pt idx="0">
                  <c:v>7.1646341463414601E-2</c:v>
                </c:pt>
                <c:pt idx="1">
                  <c:v>0.210365853658536</c:v>
                </c:pt>
                <c:pt idx="2">
                  <c:v>0.29344512195121902</c:v>
                </c:pt>
                <c:pt idx="3">
                  <c:v>0.396341463414634</c:v>
                </c:pt>
                <c:pt idx="4">
                  <c:v>0.52743902439024304</c:v>
                </c:pt>
                <c:pt idx="5">
                  <c:v>0.61814024390243805</c:v>
                </c:pt>
                <c:pt idx="6">
                  <c:v>0.68521341463414598</c:v>
                </c:pt>
                <c:pt idx="7">
                  <c:v>0.80182926829268197</c:v>
                </c:pt>
                <c:pt idx="8">
                  <c:v>0.95884146341463306</c:v>
                </c:pt>
              </c:numCache>
            </c:numRef>
          </c:xVal>
          <c:yVal>
            <c:numRef>
              <c:f>'with active area'!$N$14:$N$22</c:f>
              <c:numCache>
                <c:formatCode>General</c:formatCode>
                <c:ptCount val="9"/>
                <c:pt idx="0">
                  <c:v>5.0112240522611904</c:v>
                </c:pt>
                <c:pt idx="1">
                  <c:v>4.69177995813049</c:v>
                </c:pt>
                <c:pt idx="2">
                  <c:v>4.7400181602643201</c:v>
                </c:pt>
                <c:pt idx="3">
                  <c:v>3.5903094811713299</c:v>
                </c:pt>
                <c:pt idx="4">
                  <c:v>13.611496456226099</c:v>
                </c:pt>
                <c:pt idx="5">
                  <c:v>15.8527126894846</c:v>
                </c:pt>
                <c:pt idx="6">
                  <c:v>24.875841803919499</c:v>
                </c:pt>
                <c:pt idx="7">
                  <c:v>32.331197820768203</c:v>
                </c:pt>
                <c:pt idx="8">
                  <c:v>5.7878275783791802</c:v>
                </c:pt>
              </c:numCache>
            </c:numRef>
          </c:yVal>
          <c:smooth val="0"/>
          <c:extLst>
            <c:ext xmlns:c16="http://schemas.microsoft.com/office/drawing/2014/chart" uri="{C3380CC4-5D6E-409C-BE32-E72D297353CC}">
              <c16:uniqueId val="{00000001-8E1C-47C4-8ACF-AF9AE91630AC}"/>
            </c:ext>
          </c:extLst>
        </c:ser>
        <c:dLbls>
          <c:showLegendKey val="0"/>
          <c:showVal val="0"/>
          <c:showCatName val="0"/>
          <c:showSerName val="0"/>
          <c:showPercent val="0"/>
          <c:showBubbleSize val="0"/>
        </c:dLbls>
        <c:axId val="575606879"/>
        <c:axId val="575610239"/>
      </c:scatterChart>
      <c:valAx>
        <c:axId val="5756068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Degree of saturation</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5610239"/>
        <c:crosses val="autoZero"/>
        <c:crossBetween val="midCat"/>
      </c:valAx>
      <c:valAx>
        <c:axId val="575610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Corrison current desnity (µA/cm2)</a:t>
                </a:r>
              </a:p>
            </c:rich>
          </c:tx>
          <c:layout>
            <c:manualLayout>
              <c:xMode val="edge"/>
              <c:yMode val="edge"/>
              <c:x val="1.4500211376961648E-2"/>
              <c:y val="0.21720849177111459"/>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5606879"/>
        <c:crosses val="autoZero"/>
        <c:crossBetween val="midCat"/>
      </c:valAx>
      <c:spPr>
        <a:noFill/>
        <a:ln>
          <a:noFill/>
        </a:ln>
        <a:effectLst/>
      </c:spPr>
    </c:plotArea>
    <c:legend>
      <c:legendPos val="r"/>
      <c:layout>
        <c:manualLayout>
          <c:xMode val="edge"/>
          <c:yMode val="edge"/>
          <c:x val="0.17421784319386865"/>
          <c:y val="0.16940923330438726"/>
          <c:w val="0.25668211319277334"/>
          <c:h val="0.16937242219722534"/>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Pipeline Risk Management Using Artificial Intelligence-Enabled Modeling and Decision Making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AF64F4-7F09-46D0-9837-39439564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13</Pages>
  <Words>3343</Words>
  <Characters>19059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Schoenkin, Nathan (PHMSA)</dc:creator>
  <cp:keywords/>
  <dc:description/>
  <cp:lastModifiedBy>whao99@hotmail.com</cp:lastModifiedBy>
  <cp:revision>19</cp:revision>
  <dcterms:created xsi:type="dcterms:W3CDTF">2025-04-16T17:31:00Z</dcterms:created>
  <dcterms:modified xsi:type="dcterms:W3CDTF">2025-04-17T04:17:00Z</dcterms:modified>
</cp:coreProperties>
</file>